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78" w:rsidRDefault="00ED2078" w:rsidP="00BC5098">
      <w:pPr>
        <w:pStyle w:val="a4"/>
        <w:rPr>
          <w:rFonts w:ascii="Trebuchet MS" w:hAnsi="Trebuchet MS"/>
          <w:color w:val="000000"/>
          <w:sz w:val="28"/>
          <w:szCs w:val="28"/>
          <w:lang w:val="lv-LV"/>
        </w:rPr>
      </w:pPr>
      <w:r>
        <w:rPr>
          <w:rFonts w:ascii="Trebuchet MS" w:hAnsi="Trebuchet MS"/>
          <w:color w:val="000000"/>
          <w:sz w:val="28"/>
          <w:szCs w:val="28"/>
          <w:lang w:val="lv-LV"/>
        </w:rPr>
        <w:t>Žurnāls „Avots” 1990.01-12</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Pr>
          <w:rFonts w:ascii="Georgia" w:eastAsia="Times New Roman" w:hAnsi="Georgia" w:cs="Times New Roman"/>
          <w:noProof/>
          <w:color w:val="000000"/>
          <w:sz w:val="16"/>
          <w:szCs w:val="16"/>
          <w:lang w:eastAsia="ru-RU"/>
        </w:rPr>
        <w:drawing>
          <wp:inline distT="0" distB="0" distL="0" distR="0">
            <wp:extent cx="3204210" cy="4150360"/>
            <wp:effectExtent l="19050" t="0" r="0" b="0"/>
            <wp:docPr id="1" name="Рисунок 1" descr="http://egramatas.blog.com/files/2015/12/Avots_1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gramatas.blog.com/files/2015/12/Avots_1990.jpg"/>
                    <pic:cNvPicPr>
                      <a:picLocks noChangeAspect="1" noChangeArrowheads="1"/>
                    </pic:cNvPicPr>
                  </pic:nvPicPr>
                  <pic:blipFill>
                    <a:blip r:embed="rId4" cstate="print"/>
                    <a:srcRect/>
                    <a:stretch>
                      <a:fillRect/>
                    </a:stretch>
                  </pic:blipFill>
                  <pic:spPr bwMode="auto">
                    <a:xfrm>
                      <a:off x="0" y="0"/>
                      <a:ext cx="3204210" cy="4150360"/>
                    </a:xfrm>
                    <a:prstGeom prst="rect">
                      <a:avLst/>
                    </a:prstGeom>
                    <a:noFill/>
                    <a:ln w="9525">
                      <a:noFill/>
                      <a:miter lim="800000"/>
                      <a:headEnd/>
                      <a:tailEnd/>
                    </a:ln>
                  </pic:spPr>
                </pic:pic>
              </a:graphicData>
            </a:graphic>
          </wp:inline>
        </w:drawing>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5" w:tgtFrame="_blank" w:history="1">
        <w:r w:rsidRPr="00357F25">
          <w:rPr>
            <w:rFonts w:ascii="Georgia" w:eastAsia="Times New Roman" w:hAnsi="Georgia" w:cs="Times New Roman"/>
            <w:b/>
            <w:bCs/>
            <w:color w:val="0000FF"/>
            <w:sz w:val="16"/>
            <w:u w:val="single"/>
            <w:lang w:eastAsia="ru-RU"/>
          </w:rPr>
          <w:t>Avots 1990.01</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Aivars Tarvids. «Robežpārkāpējs» (1. Ipp.) Andris Akmentiņš. Dzeja (14. Ipp.) Valdis Rūmnieks. «Čaks — krievu dzejnieks?» (16. lpp.) ; Valdis Rūmnieks. «Tam, kurš mīlēja Rīgu par visu vairāk pasaulē» (18. Ipp.) Guntis Kokars. Dzeja (19. Ipp.) Jānis Einfelds. «Zvaigžņu meli» (20. Ipp.) ; Jurijs Arabovs (22. Ipp.)</w:t>
      </w:r>
      <w:r w:rsidRPr="00357F25">
        <w:rPr>
          <w:rFonts w:ascii="Georgia" w:eastAsia="Times New Roman" w:hAnsi="Georgia" w:cs="Times New Roman"/>
          <w:b/>
          <w:bCs/>
          <w:i/>
          <w:iCs/>
          <w:color w:val="000000"/>
          <w:sz w:val="16"/>
          <w:lang w:eastAsia="ru-RU"/>
        </w:rPr>
        <w:t> </w:t>
      </w:r>
      <w:r w:rsidRPr="00357F25">
        <w:rPr>
          <w:rFonts w:ascii="Georgia" w:eastAsia="Times New Roman" w:hAnsi="Georgia" w:cs="Times New Roman"/>
          <w:color w:val="000000"/>
          <w:sz w:val="16"/>
          <w:szCs w:val="16"/>
          <w:lang w:eastAsia="ru-RU"/>
        </w:rPr>
        <w:t>Islandes dzeja (23. Ipp.) Manfrēds Kibers. Stāsti (26. Ipp.)</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i/>
          <w:iCs/>
          <w:color w:val="000000"/>
          <w:sz w:val="16"/>
          <w:lang w:eastAsia="ru-RU"/>
        </w:rPr>
        <w:t> </w:t>
      </w:r>
      <w:r w:rsidRPr="00357F25">
        <w:rPr>
          <w:rFonts w:ascii="Georgia" w:eastAsia="Times New Roman" w:hAnsi="Georgia" w:cs="Times New Roman"/>
          <w:color w:val="000000"/>
          <w:sz w:val="16"/>
          <w:szCs w:val="16"/>
          <w:lang w:eastAsia="ru-RU"/>
        </w:rPr>
        <w:t>Raimonds Grīnbergs. Dzeja (30.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Kultūra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Maija Āboliņa. «Kulturēlās tuvināšanās biedrības ar SPRS tautām 1929.—1940.» (32. lpp.)V Zenta Mauriņa. «Divas kultūras saknes» (35. Ipp )  ; Vinfrīds Matejka. Fotogrāfijas (42. Ipp.)  Georgijs Mihailovs. Fragments no dienasgrāmatas (46. lpp.)V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Publicistika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Intervija ar Daini Īvānu (52. Ipp.) Larisa Ļisjutkina. «Raula Vallenberga varoņdarbs un traģēdija» (56. Ipp.)  Janīna Kursīte. «Laika liecības Edvarta Virzas publicistikā» (63. Ipp.)</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i/>
          <w:iCs/>
          <w:color w:val="000000"/>
          <w:sz w:val="16"/>
          <w:lang w:eastAsia="ru-RU"/>
        </w:rPr>
        <w:t> </w:t>
      </w:r>
      <w:r w:rsidRPr="00357F25">
        <w:rPr>
          <w:rFonts w:ascii="Georgia" w:eastAsia="Times New Roman" w:hAnsi="Georgia" w:cs="Times New Roman"/>
          <w:color w:val="000000"/>
          <w:sz w:val="16"/>
          <w:szCs w:val="16"/>
          <w:lang w:eastAsia="ru-RU"/>
        </w:rPr>
        <w:t>E. Virza. «Mani pieredzējumi padomju Krievijā», «Nacionālisma vara» (64. Ipp.) Larisa Pijaševa. «Izvēle un atbildība» (66. Ipp.)</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i/>
          <w:iCs/>
          <w:color w:val="000000"/>
          <w:sz w:val="16"/>
          <w:lang w:eastAsia="ru-RU"/>
        </w:rPr>
        <w:t>.</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Džons O'Hāra. «Sieviete no Medisona avēnijas» (72. lpp.)V Māris Kārkls. «Pudele vēl pusē» (74.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6" w:tgtFrame="_blank" w:history="1">
        <w:r w:rsidRPr="00357F25">
          <w:rPr>
            <w:rFonts w:ascii="Georgia" w:eastAsia="Times New Roman" w:hAnsi="Georgia" w:cs="Times New Roman"/>
            <w:b/>
            <w:bCs/>
            <w:color w:val="0000FF"/>
            <w:sz w:val="16"/>
            <w:u w:val="single"/>
            <w:lang w:eastAsia="ru-RU"/>
          </w:rPr>
          <w:t>Avots 1990.02</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Aivars Tarvids. «Robežparkāpējs» (1. Ipp.) V Hanss Magnuss Encensbergers. Dzeja. (8. Ipp.) ; Lehte Hainsalu. «Tonelas putns» (10. Ipp.) ; Anti Līvs. «Aicinājums uz deju» (14. lpp.) Eva Rubene. Intervija ar mācītāju Juri Rubeni (16. Ipp.) Džonis (Jānis Silenieks). Dzeja (18. Ipp.) Daniils Harms. «Vecene» (22. Ipp.) Pēters Esterhāzi. «No pielikuma «Mazajai ungāru pornogrāfijai»» (30. Ipp.)  ; Kultūra ; Helēna Demakova. «Interferences jeb mākslas pilsētā, kurai visapkārt ir Austrumi» (32. Ipp.) Ansis Zunde. «Dzīvīte, dzīvīte . . .» (46. Ipp.) ; Publicistika ; Viktors Franks. «Ļeņins un krievu inteliģence» (52. Ipp.)  Baigais gads (55. Ipp.)  Imants Belogrīvs. «Grenadiera stāsts» (58. lpp.) Peteris Cimdiņš. «Ekoloģiskā nolemtība vai cīņa par dzīvi» (64. Ipp.) ; Literatūra ; Māris Kārkls. «Pudele vēl pusē» (70. Ipp.) Pēters Brūveris. Dzeja (76. Ipp.)  </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7" w:tgtFrame="_blank" w:history="1">
        <w:r w:rsidRPr="00357F25">
          <w:rPr>
            <w:rFonts w:ascii="Georgia" w:eastAsia="Times New Roman" w:hAnsi="Georgia" w:cs="Times New Roman"/>
            <w:b/>
            <w:bCs/>
            <w:color w:val="0000FF"/>
            <w:sz w:val="16"/>
            <w:u w:val="single"/>
            <w:lang w:eastAsia="ru-RU"/>
          </w:rPr>
          <w:t> Avots 1990.03</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Jānis Lejiņš. «Pirmajā miera rudenī» (1. Ipp.) ; Māris Krautmanis. Dzejoļi (8. Ipp.) Aris Joksts. Stāsti (10. Ipp.)  Horhe Luiss Borhess. Dzejoļi (14. Ipp.) Francs Fīmanis. «Pavlo papīrgrāmata» ; (16. Lpp.) ; Andrejs Irbe. Stāsti (21. Ipp.) Mirdza Bendrupe. Dzejoļi (27. Ipp.) Amanda Aizpuriete. Intervija ar Josifu Brodski (28. Ipp.)  Josifs Brodskis. «Par tirāniju» (30.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Kultūra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Viktors Grāvītis. «Labi aizmirstais vecais . . .»(32. Ipp.) ; Irēna Bužinska. «Pirmā lielākā pasaule» (39. Ipp.)</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V</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Andra Grīnberga Fotoakcija (40. Ipp.)</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i/>
          <w:iCs/>
          <w:color w:val="000000"/>
          <w:sz w:val="16"/>
          <w:lang w:eastAsia="ru-RU"/>
        </w:rPr>
        <w:t>\j</w:t>
      </w:r>
      <w:r w:rsidRPr="00357F25">
        <w:rPr>
          <w:rFonts w:ascii="Georgia" w:eastAsia="Times New Roman" w:hAnsi="Georgia" w:cs="Times New Roman"/>
          <w:color w:val="000000"/>
          <w:sz w:val="16"/>
          <w:szCs w:val="16"/>
          <w:lang w:eastAsia="ru-RU"/>
        </w:rPr>
        <w:t xml:space="preserve">leonīds Radzihovskis. «No psihologa redzes viedokļa» (47. Ipp.) Paskaidrojumi par Zentas Mauriņas esejas </w:t>
      </w:r>
      <w:r w:rsidRPr="00357F25">
        <w:rPr>
          <w:rFonts w:ascii="Georgia" w:eastAsia="Times New Roman" w:hAnsi="Georgia" w:cs="Times New Roman"/>
          <w:color w:val="000000"/>
          <w:sz w:val="16"/>
          <w:szCs w:val="16"/>
          <w:lang w:eastAsia="ru-RU"/>
        </w:rPr>
        <w:lastRenderedPageBreak/>
        <w:t>publikāciju (51.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Publicistika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Andreja Saharova piemiņai (52. Ipp.) no rietumvācu starptautiskās politiskās enciklopēdijas (54. Ipp.) «es apliecinu . . .». 1989. G. 7., 8. oktobrī Berlīnes notikumos cietušo ziņojumi (56. Ipp.) Laima Žihare. Intervija ar Egonu Krencu (60. Ipp.)  ; Anda Kubuliņa. «Aivars Ruņģis» (65. Ipp.) Aivars Ruņģis. «Latviešu tautas dzīvības stratēģija bez militāra konflikta iespējām» ; (66.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Francs Kafka. «Process» (72. Ipp.) ;</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b/>
          <w:bCs/>
          <w:color w:val="000000"/>
          <w:sz w:val="16"/>
          <w:lang w:eastAsia="ru-RU"/>
        </w:rPr>
        <w:t> </w:t>
      </w:r>
      <w:hyperlink r:id="rId8" w:tgtFrame="_blank" w:history="1">
        <w:r w:rsidRPr="00357F25">
          <w:rPr>
            <w:rFonts w:ascii="Georgia" w:eastAsia="Times New Roman" w:hAnsi="Georgia" w:cs="Times New Roman"/>
            <w:b/>
            <w:bCs/>
            <w:color w:val="0000FF"/>
            <w:sz w:val="16"/>
            <w:u w:val="single"/>
            <w:lang w:eastAsia="ru-RU"/>
          </w:rPr>
          <w:t>Avots 1990. 04</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Jānis Lejiņš. «Pirmajā miera rudenī» (1. Ipp.) ; Ēriks Adamsons. Dzeja (10. Ipp.) Anda Kubuliņa. «Vizmas Belševicas iesākumā apgūtais» (13. Ipp.) Vizma Belševica. Dzeja (18. Ipp.) Anšlavs Eglītis. «Ciemiņš no dzimtenes» (20. Ipp.) ; Ingmārs Bergmanis. «Laterna magica» (24.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Kultūra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Pāvils Vīlips. «Pāris ceļotāja iespaidu sakarā ar braucienu uz SPRS» (32. Ipp.) Jānis Kalnačs. «Irbītes mākslas mazāk zināmā tiesa» (35. Ipp.) Voldemārs Irbe. Esejas (36. Ipp.) Helēna Demakova. «Mākslas pilsētā, kurai visapkārt ir Austrumi» (44. Ipp.) Pēters Sloterdijks. «Pēc vēstures» (50.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Publicistika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Rudīte Kalpiņa. Intervija ar Uldi Gērmani (52. Ipp.) V Uldis Ģērmanis. «Padomju taktika pret trimdiniekiem gadu gaitā (1945—1975)» (57. Ipp.) V ; Ilze Fišere. «Latvieši Ķīna» (60. Ipp.) Pēteris Pildegovičs. «Salna «Pekinas pavasarī»» (68.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Francs Kafka. «Process» (72.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9" w:tgtFrame="_blank" w:history="1">
        <w:r w:rsidRPr="00357F25">
          <w:rPr>
            <w:rFonts w:ascii="Georgia" w:eastAsia="Times New Roman" w:hAnsi="Georgia" w:cs="Times New Roman"/>
            <w:b/>
            <w:bCs/>
            <w:color w:val="0000FF"/>
            <w:sz w:val="16"/>
            <w:u w:val="single"/>
            <w:lang w:eastAsia="ru-RU"/>
          </w:rPr>
          <w:t>Avots 1990. 05</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Janīna Kursīte. «Mūsu dvēseļu cietokšņus ; atjaunojot» (1. Ipp.) Arturs Strautmanis. «Ievada vietā» (2. Ipp.) Andrejs Eglītis. «Dvēseļu cietoksnis» (4. Ipp.) ; Velga Krile. Dzeja (10. Ipp.) Aija Vālodze. «Ordeņi pienākas uzvarētājiem» (12. Ipp.) Herolds Pinters. «Kalnu valoda» (20. Ipp.) ; Jānis Krēsliņš. Dzeja (23. Ipp.) Gabriela Vomane. «Nekrologs» (26. Ipp.) Leons Briedis. «Disidents» (28. Ipp.) Mirča Dinesku. Dzeja (30.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Kultūra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Guntars Godiņš. «Es neticu nevienam . . .» (32. Ipp.)\/ Kristīne Sniedze. Intervija ar Paskālu Emanuēlu Galē (34. Ipp.) Uldis Tīrons. «Paskāls Emanuēls Galē ; starp skatienu un apvārsni» (36. Ipp.) Ženija Sūna-Peņģerote. «Skaistuma meklētājs» (41.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Publicistika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Egils Levits. «Latvijas Republika vai Latvijas PSR?» (52. Ipp.) Jurijs Družņikovs. «Mīts par Pavļiku Morozovu» ; (60. Ipp.) ; «Raidstacija «Vācu Vilnis» par Viktora Suvorova ; «Ledlauzi»» (66. lpp.)V Viktors Suvorovs. «Ledlauzis» (69. lpp.)V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Francs Kafka. «Process» (73. Ipp.) ;</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10" w:tgtFrame="_blank" w:history="1">
        <w:r w:rsidRPr="00357F25">
          <w:rPr>
            <w:rFonts w:ascii="Georgia" w:eastAsia="Times New Roman" w:hAnsi="Georgia" w:cs="Times New Roman"/>
            <w:b/>
            <w:bCs/>
            <w:color w:val="0000FF"/>
            <w:sz w:val="16"/>
            <w:u w:val="single"/>
            <w:lang w:eastAsia="ru-RU"/>
          </w:rPr>
          <w:t> Avots 1990.06</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Andrejs Eglītis. «Dvēseļu cietoksnis» (1. Ipp.) ; Liāna Langa. Dzeja (10. Ipp.) ; No Kārļa Zariņa dienasgrāmatām (12. Ipp.) ; Kārlis Kalvišs. Dzeja (18. Ipp.) Džons Sommerfīlds. «Nomirt nav viegli» (20. Ipp.) Inguna Jansone. Dzeja (24. Ipp.) Hando Runnels. Dzejoļi, esejas (26. Ipp.) ; Kultūra ; Rainers Marija Rilke. «Kā Krievijā sākās nodevība» (30. Ipp.)</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i/>
          <w:iCs/>
          <w:color w:val="000000"/>
          <w:sz w:val="16"/>
          <w:lang w:eastAsia="ru-RU"/>
        </w:rPr>
        <w:t> </w:t>
      </w:r>
      <w:r w:rsidRPr="00357F25">
        <w:rPr>
          <w:rFonts w:ascii="Georgia" w:eastAsia="Times New Roman" w:hAnsi="Georgia" w:cs="Times New Roman"/>
          <w:color w:val="000000"/>
          <w:sz w:val="16"/>
          <w:szCs w:val="16"/>
          <w:lang w:eastAsia="ru-RU"/>
        </w:rPr>
        <w:t>Māris Cinītis. «Kāds pārlaidās pār Atlantiju jeb cukura diēta» (32. Ipp.) ; Gatis Gudets. Saruna ar Aiju Zariņu (34. Ipp.)  Aivars Leitis. ««Baltās vārnas» lidojums» (42. Ipp.)  ; Publicistika ; Vāclavs Havels. «Vārds par Vārdu» (51. Ipp.) ; Aija Cālīte. «Mājās—latviešos» (55. Ipp.) ; Jurijs Družņikovs. «Mīts par Pavļiku Morozovu» (62. Ipp.) Viktors Suvorovs. «Ledlauzis» (66. Ipp.)  ; Literatūra ; Francs Kafka. «Process» (72. Ipp.) ;</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11" w:tgtFrame="_blank" w:history="1">
        <w:r w:rsidRPr="00357F25">
          <w:rPr>
            <w:rFonts w:ascii="Georgia" w:eastAsia="Times New Roman" w:hAnsi="Georgia" w:cs="Times New Roman"/>
            <w:color w:val="0000FF"/>
            <w:sz w:val="16"/>
            <w:u w:val="single"/>
            <w:lang w:eastAsia="ru-RU"/>
          </w:rPr>
          <w:t> </w:t>
        </w:r>
        <w:r w:rsidRPr="00357F25">
          <w:rPr>
            <w:rFonts w:ascii="Georgia" w:eastAsia="Times New Roman" w:hAnsi="Georgia" w:cs="Times New Roman"/>
            <w:b/>
            <w:bCs/>
            <w:color w:val="0000FF"/>
            <w:sz w:val="16"/>
            <w:u w:val="single"/>
            <w:lang w:eastAsia="ru-RU"/>
          </w:rPr>
          <w:t>Avots 1990.07</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Artūrs Snips. «Mēs ejam, mēs ejam» (1. Ipp.) ; Mārtiņš Gints. Dzeja (10. Ipp.) Aivars Kļāvis. «Nebēdājies, drīz pilnīgi viss piederēs tev» (12. Ipp.) Fransis Mulongē. «Zans Kokto — viņa dzīve ir īsts romāns» (15. Ipp.) Zans Kokto. Dzejoļi, esejas (18. Ipp.) Andris Zebers. Dzeja (20. Ipp.) Airisa Mērdoka. «No vārda dzimušais» (25. Ipp.) ; Kultūra ; Aivars Leitis. «Žanis Bulavs un vina gleznas» (32. Ipp.) ; J. A. Jansons. «Senču tikums» (36. Ipp.) Juris Strenga. «Don't Worry! Be Happy!» (48. Ipp.) ; Publicistika ; Salmans Rušdī. «Vai nekas nav svēts?» (53. Ipp.) ; Leons Briedis. «Nepretoties ar ļaunumu» (54. Ipp.) ; Laima Zihare. Intervija ar Arpādu Gencu (57. Ipp.) ; Ginters Grass. «īss bezpavalstnieka monologs» (60. Ipp.) ; Česlavs Milošs. «Mums jamekle neutopiska vīzija» (61. Ipp.) Jurijs Družņikovs. «Mīts par Pavļiku Morozovu» (62. Ipp.) Viktors Suvorovs. «Ledlauzis» (66. Ipp.) ; Literatūra ; Francs Kafka. «Process» (72.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b/>
          <w:bCs/>
          <w:color w:val="000000"/>
          <w:sz w:val="16"/>
          <w:lang w:eastAsia="ru-RU"/>
        </w:rPr>
        <w:t> </w:t>
      </w:r>
      <w:hyperlink r:id="rId12" w:tgtFrame="_blank" w:history="1">
        <w:r w:rsidRPr="00357F25">
          <w:rPr>
            <w:rFonts w:ascii="Georgia" w:eastAsia="Times New Roman" w:hAnsi="Georgia" w:cs="Times New Roman"/>
            <w:b/>
            <w:bCs/>
            <w:color w:val="0000FF"/>
            <w:sz w:val="16"/>
            <w:u w:val="single"/>
            <w:lang w:eastAsia="ru-RU"/>
          </w:rPr>
          <w:t>Avots 1990.08</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Artūrs Snips. «Mēs ejam, mēs ejam» (1. Ipp.) ; Sergejs Kabaloti. Dzeja (7. Ipp.) Ludmila Petruševska. «Jaunie robinsoni» ; (10. Ipp.) ; Maira Asare. Dzeja (14. Ipp.) Ainārs Asaris. Dzeja (16. Ipp.) Gundega Repše. «Vējam līdzi» (18. Ipp.) Tomass Transtrēmers. Dzeja (21. Ipp.) Juris Kunnoss. Dzeja (22. Ipp.) Boriss Gasparovs. «No M. Bulgakova romāna «Meistars un Margarita» motīvu struktūras vērojumiem» (26. Ipp.) ; Kultūra ; Voldemārs Matvejs. «Jaunās mākslas principi» (32. Ipp.) «Nepieradinātās modes asambleja» (40. Ipp.) ; Aigars Ceplītis. «FUB» (43. Ipp.) Juris Strenga. «Mans ceļojums uz Austrumzemi. II» (46. Ipp.) ; Publicistika ; Ernests Blanks. «Latvijas valsts ideja» (53. Ipp.) Hanss Magnuss Encensbergers. «Vēsturiskās atkāpšanās laikmets» (56. Ipp.) Jurijs Družņikovs. «Mīts par Pavļiku Morozovu» (58. Ipp.) Viktors Suvorovs. «Ledlauzis» (66. Ipp.) ; Literatūra ; Francs Kafka. «Process» (73. Ipp.) Guntis Berelis. «Lasīšanas procesa — «Procesa» lasīšanas — piezīmes» (76.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13" w:tgtFrame="_blank" w:history="1">
        <w:r w:rsidRPr="00357F25">
          <w:rPr>
            <w:rFonts w:ascii="Georgia" w:eastAsia="Times New Roman" w:hAnsi="Georgia" w:cs="Times New Roman"/>
            <w:b/>
            <w:bCs/>
            <w:color w:val="0000FF"/>
            <w:sz w:val="16"/>
            <w:u w:val="single"/>
            <w:lang w:eastAsia="ru-RU"/>
          </w:rPr>
          <w:t>Avots 1990.09</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Vāclavs Havels. «Kārdināšana» (1. Ipp.)\/ Edvīns Raups. Dzeja (10. lpp.)V Kingslijs Emiss. «Veiksminieks Džims» (12. ipp.) Andalūzijas tautasdziesmas (18. Ipp.) \ Rimants Ziedonis. «Kāpēc tu nespēlē?» (21. Ipp.) V Boriss Gasparovs. «No M. Bulgakova romāna «Meistars un Margarita» motīvu struktūras vērojumiem» (26. Ipp.) ; Kultūra ; Teātris «Karuselis». «L'amour, la mort» (32. Ipp.) V Ojārs Spārītis. «Tērvetes «Golgāta»» (36. Ipp.) Juris Strenga. «Don't Worry! Be Happy!» (46. Ipp.) ; Publicistika ; Bertrans Rasels. «Boļševisma teorija un prakse» (52. Ipp.)  Jurijs Družņikovs. «Mīts par Pavļiku Morozovu» (56. Ipp.) «leteikumiņi» (1919. gads) (62. Ipp.) V Viktors Suvorovs. «Ledlauzis» (66. Ipp.)  ; Literatūra ; Vāclavs Havels. «Kārdināšana» (72.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14" w:tgtFrame="_blank" w:history="1">
        <w:r w:rsidRPr="00357F25">
          <w:rPr>
            <w:rFonts w:ascii="Georgia" w:eastAsia="Times New Roman" w:hAnsi="Georgia" w:cs="Times New Roman"/>
            <w:b/>
            <w:bCs/>
            <w:color w:val="0000FF"/>
            <w:sz w:val="16"/>
            <w:u w:val="single"/>
            <w:lang w:eastAsia="ru-RU"/>
          </w:rPr>
          <w:t>Avots 1990. 10</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Jānis Turbads. «Ķēves dēls Kurbads» (1. Ipp.) ; Valda Dreimane. Dzeja (10. Ipp.) Andra Neiburga. «Vasaras pieraksti (zona)» ; (12. Ipp.) ; TomassStērnsEliots. «Izpostītā zeme» (18. Ipp.) Boriss Gasparovs. «No M. Bulgakova romāna «Meistars un Margarita» motīvu struktūras ; vērojumiem» (25. Ipp.) ; Kultūra ; Josifs Brodskis. «Demokrātija» (32. Ipp.) Gunārs Janaitis. Saruna ar Gvido Augustu. ; (41. Ipp.) ; Juris Strenga. «Don't Worry! Be Happy!» ; (47. Ipp.) ; Publicistika ; Bertrans Rasels. «Bolševisma teorija un prakse» ; (52. Ipp.) ; Laima Zihare. Saruna ar 1956. gada ungāru ; studentu (56. Ipp.) Meinards Ouvens Viljams. «Latvija, latvju nams» ; (58. Ipp.) ; Viktors Suvorovs. «Ledlauzis» (66. Ipp.) ; Literatūra ; Lalita Muižniece. «Melitas piedzīvojumi Rīgā» (71. Ipp!) ;</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15" w:tgtFrame="_blank" w:history="1">
        <w:r w:rsidRPr="00357F25">
          <w:rPr>
            <w:rFonts w:ascii="Georgia" w:eastAsia="Times New Roman" w:hAnsi="Georgia" w:cs="Times New Roman"/>
            <w:b/>
            <w:bCs/>
            <w:color w:val="0000FF"/>
            <w:sz w:val="16"/>
            <w:u w:val="single"/>
            <w:lang w:eastAsia="ru-RU"/>
          </w:rPr>
          <w:t>Avots 1990.11</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Literatūra ; Jānis Turbads. «Ķēves dēls Kurbads» ; (1. Ipp.) ; Māris Lapiņš. Dzeja (10. Ipp.) Ilze šķipsna. «Ex feminae tempore» (12. Ipp.) Roberts Mūzils. «Melnais mežastrazds» ; (14. Ipp.) ; Žurnāla «Parks» lappuses (18. Ipp.) Brigite Zendiga. «Albērs Kāmī» (24.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Kultūra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Viesturs Kreicbergs. «Dievs un matērija» ; (32. Ipp.) ; Anna Žīgure. «Mūsu māksliniece Veronā» (36. Ipp.) Daiga Mazvērsīte. «Ar savas dziesmas plaši izplesto spārnu . . .» (40. Ipp.) Juris Strenga. «Don't Worry! Be Happy!» ; (49. I 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Publicistika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Bertrans Rasels. «Boļševisma teorija un ; prakse» (52. Ipp.) Eva Rubene. «Es esmu labāka, nekā varētu vēlēties» (57. Ipp.) Guntis Valujevs. «Kas ir baski, un ko viņi ; grib?» (62. Ipp.) Laima Zihare. «Cik gadiem šoreiz būs jāpaiet?» (66. Ipp.) Viktors Suvorovs. «Ledlauzis» (68.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Milans Kundera. «Joks» (73.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hyperlink r:id="rId16" w:tgtFrame="_blank" w:history="1">
        <w:r w:rsidRPr="00357F25">
          <w:rPr>
            <w:rFonts w:ascii="Georgia" w:eastAsia="Times New Roman" w:hAnsi="Georgia" w:cs="Times New Roman"/>
            <w:b/>
            <w:bCs/>
            <w:color w:val="0000FF"/>
            <w:sz w:val="16"/>
            <w:u w:val="single"/>
            <w:lang w:eastAsia="ru-RU"/>
          </w:rPr>
          <w:t>Avots 1990.12</w:t>
        </w:r>
      </w:hyperlink>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Jānis Turbads. «Ķēves dēls Kurbads» (2. Ipp.) ; Jānis Rokpelnis. Dzeja (12. Ipp.) Ingeborga Bahmane. «Prāmis» (14. Ipp.) Juris Kronbergs. «Diena vēl nav gatava» (16. Ipp.) ; Marķīzs de Solē. Stāsti (17. Ipp.) Roberts Mūks. Dzeja (24. Ipp.) Lukiāns. «Hetēru sarunas» (26. Ipp.) Jānis Ramba. Dzeja (28. Ipp.) Tomass Stērns Eliots. «Gerontijs» (30.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Kultūra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Vilnis Zābers. «Annas ekskursija» (32. Ipp.) ; Normunds Lācis. Dzeja (34. Ipp.) Helēna Demakova. «I love Kotka un «Radar»» (36. Ipp.) ; Juris Strenga. «Don't Worry! Be Happy!» (48. Ipp.) ;</w:t>
      </w:r>
      <w:r w:rsidRPr="00357F25">
        <w:rPr>
          <w:rFonts w:ascii="Georgia" w:eastAsia="Times New Roman" w:hAnsi="Georgia" w:cs="Times New Roman"/>
          <w:b/>
          <w:bCs/>
          <w:color w:val="000000"/>
          <w:sz w:val="16"/>
          <w:lang w:eastAsia="ru-RU"/>
        </w:rPr>
        <w:t>Publicistika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Bertrans Rasels. «Bolševisma teorija un prakse» .. ’ (52. Ipp.) ; Maija un Leons Brieži. «Brīvība, tu esi pasaules valdniece! . . .» (55. Ipp.) Sarmīte Meinerte. «Kā varam palīdzēt Abrenei» (65. Ipp.) Endre Gemeri. «Rotšildi — piecas zelta bultas» (66. Ipp.) ;</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b/>
          <w:bCs/>
          <w:color w:val="000000"/>
          <w:sz w:val="16"/>
          <w:lang w:eastAsia="ru-RU"/>
        </w:rPr>
        <w:t>Literatūra</w:t>
      </w:r>
      <w:r w:rsidRPr="00357F25">
        <w:rPr>
          <w:rFonts w:ascii="Georgia" w:eastAsia="Times New Roman" w:hAnsi="Georgia" w:cs="Times New Roman"/>
          <w:color w:val="000000"/>
          <w:sz w:val="16"/>
          <w:lang w:eastAsia="ru-RU"/>
        </w:rPr>
        <w:t> </w:t>
      </w:r>
      <w:r w:rsidRPr="00357F25">
        <w:rPr>
          <w:rFonts w:ascii="Georgia" w:eastAsia="Times New Roman" w:hAnsi="Georgia" w:cs="Times New Roman"/>
          <w:color w:val="000000"/>
          <w:sz w:val="16"/>
          <w:szCs w:val="16"/>
          <w:lang w:eastAsia="ru-RU"/>
        </w:rPr>
        <w:t>; Milans Kundera. «Joks» (72. Ipp.)</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Visi faili(+pdf) kopējais mapes izmērs  kopā ar pdf 112. mb:</w:t>
      </w:r>
    </w:p>
    <w:p w:rsidR="00357F25" w:rsidRPr="00357F25" w:rsidRDefault="00357F25" w:rsidP="00357F25">
      <w:pPr>
        <w:spacing w:before="100" w:beforeAutospacing="1" w:after="100" w:afterAutospacing="1" w:line="238" w:lineRule="atLeast"/>
        <w:rPr>
          <w:rFonts w:ascii="Georgia" w:eastAsia="Times New Roman" w:hAnsi="Georgia" w:cs="Times New Roman"/>
          <w:color w:val="000000"/>
          <w:sz w:val="16"/>
          <w:szCs w:val="16"/>
          <w:lang w:eastAsia="ru-RU"/>
        </w:rPr>
      </w:pPr>
      <w:r w:rsidRPr="00357F25">
        <w:rPr>
          <w:rFonts w:ascii="Georgia" w:eastAsia="Times New Roman" w:hAnsi="Georgia" w:cs="Times New Roman"/>
          <w:color w:val="000000"/>
          <w:sz w:val="16"/>
          <w:szCs w:val="16"/>
          <w:lang w:eastAsia="ru-RU"/>
        </w:rPr>
        <w:t> </w:t>
      </w:r>
      <w:hyperlink r:id="rId17" w:tgtFrame="_blank" w:history="1">
        <w:r w:rsidRPr="00357F25">
          <w:rPr>
            <w:rFonts w:ascii="Georgia" w:eastAsia="Times New Roman" w:hAnsi="Georgia" w:cs="Times New Roman"/>
            <w:color w:val="0000FF"/>
            <w:sz w:val="16"/>
            <w:u w:val="single"/>
            <w:lang w:eastAsia="ru-RU"/>
          </w:rPr>
          <w:t>https://yadi.sk/d/mrTy-KZfmXPrQ</w:t>
        </w:r>
      </w:hyperlink>
    </w:p>
    <w:p w:rsidR="00F96874" w:rsidRPr="00F96874" w:rsidRDefault="00F96874" w:rsidP="00357F25">
      <w:pPr>
        <w:pStyle w:val="a4"/>
        <w:rPr>
          <w:lang w:val="lv-LV"/>
        </w:rPr>
      </w:pPr>
    </w:p>
    <w:sectPr w:rsidR="00F96874" w:rsidRPr="00F96874" w:rsidSect="00BF1C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96874"/>
    <w:rsid w:val="00310FBD"/>
    <w:rsid w:val="00357F25"/>
    <w:rsid w:val="00BC5098"/>
    <w:rsid w:val="00BF1C2B"/>
    <w:rsid w:val="00C153A1"/>
    <w:rsid w:val="00D66C30"/>
    <w:rsid w:val="00E717F1"/>
    <w:rsid w:val="00ED2078"/>
    <w:rsid w:val="00F155B5"/>
    <w:rsid w:val="00F96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C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6874"/>
    <w:rPr>
      <w:i/>
      <w:iCs/>
    </w:rPr>
  </w:style>
  <w:style w:type="paragraph" w:styleId="a4">
    <w:name w:val="Normal (Web)"/>
    <w:basedOn w:val="a"/>
    <w:uiPriority w:val="99"/>
    <w:unhideWhenUsed/>
    <w:rsid w:val="00F96874"/>
    <w:pPr>
      <w:spacing w:after="48" w:line="240" w:lineRule="auto"/>
      <w:ind w:firstLine="720"/>
      <w:jc w:val="both"/>
    </w:pPr>
    <w:rPr>
      <w:rFonts w:ascii="Times New Roman" w:eastAsia="Times New Roman" w:hAnsi="Times New Roman" w:cs="Times New Roman"/>
      <w:sz w:val="24"/>
      <w:szCs w:val="24"/>
      <w:lang w:eastAsia="ru-RU"/>
    </w:rPr>
  </w:style>
  <w:style w:type="character" w:styleId="a5">
    <w:name w:val="Strong"/>
    <w:basedOn w:val="a0"/>
    <w:uiPriority w:val="22"/>
    <w:qFormat/>
    <w:rsid w:val="00F96874"/>
    <w:rPr>
      <w:b/>
      <w:bCs/>
    </w:rPr>
  </w:style>
  <w:style w:type="paragraph" w:customStyle="1" w:styleId="normal">
    <w:name w:val="normal"/>
    <w:basedOn w:val="a"/>
    <w:rsid w:val="00F96874"/>
    <w:pPr>
      <w:spacing w:after="48" w:line="240" w:lineRule="auto"/>
      <w:ind w:firstLine="720"/>
      <w:jc w:val="both"/>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57F25"/>
    <w:rPr>
      <w:color w:val="0000FF"/>
      <w:u w:val="single"/>
    </w:rPr>
  </w:style>
  <w:style w:type="character" w:customStyle="1" w:styleId="apple-converted-space">
    <w:name w:val="apple-converted-space"/>
    <w:basedOn w:val="a0"/>
    <w:rsid w:val="00357F25"/>
  </w:style>
  <w:style w:type="paragraph" w:styleId="a7">
    <w:name w:val="Balloon Text"/>
    <w:basedOn w:val="a"/>
    <w:link w:val="a8"/>
    <w:uiPriority w:val="99"/>
    <w:semiHidden/>
    <w:unhideWhenUsed/>
    <w:rsid w:val="00357F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7F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30254">
      <w:bodyDiv w:val="1"/>
      <w:marLeft w:val="0"/>
      <w:marRight w:val="0"/>
      <w:marTop w:val="0"/>
      <w:marBottom w:val="0"/>
      <w:divBdr>
        <w:top w:val="none" w:sz="0" w:space="0" w:color="auto"/>
        <w:left w:val="none" w:sz="0" w:space="0" w:color="auto"/>
        <w:bottom w:val="none" w:sz="0" w:space="0" w:color="auto"/>
        <w:right w:val="none" w:sz="0" w:space="0" w:color="auto"/>
      </w:divBdr>
      <w:divsChild>
        <w:div w:id="1790664013">
          <w:marLeft w:val="48"/>
          <w:marRight w:val="48"/>
          <w:marTop w:val="48"/>
          <w:marBottom w:val="0"/>
          <w:divBdr>
            <w:top w:val="none" w:sz="0" w:space="0" w:color="auto"/>
            <w:left w:val="none" w:sz="0" w:space="0" w:color="auto"/>
            <w:bottom w:val="none" w:sz="0" w:space="0" w:color="auto"/>
            <w:right w:val="none" w:sz="0" w:space="0" w:color="auto"/>
          </w:divBdr>
          <w:divsChild>
            <w:div w:id="1078938956">
              <w:marLeft w:val="0"/>
              <w:marRight w:val="0"/>
              <w:marTop w:val="0"/>
              <w:marBottom w:val="0"/>
              <w:divBdr>
                <w:top w:val="none" w:sz="0" w:space="0" w:color="auto"/>
                <w:left w:val="none" w:sz="0" w:space="0" w:color="auto"/>
                <w:bottom w:val="none" w:sz="0" w:space="0" w:color="auto"/>
                <w:right w:val="none" w:sz="0" w:space="0" w:color="auto"/>
              </w:divBdr>
              <w:divsChild>
                <w:div w:id="656081091">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42364768">
      <w:bodyDiv w:val="1"/>
      <w:marLeft w:val="0"/>
      <w:marRight w:val="0"/>
      <w:marTop w:val="0"/>
      <w:marBottom w:val="0"/>
      <w:divBdr>
        <w:top w:val="none" w:sz="0" w:space="0" w:color="auto"/>
        <w:left w:val="none" w:sz="0" w:space="0" w:color="auto"/>
        <w:bottom w:val="none" w:sz="0" w:space="0" w:color="auto"/>
        <w:right w:val="none" w:sz="0" w:space="0" w:color="auto"/>
      </w:divBdr>
      <w:divsChild>
        <w:div w:id="1732652415">
          <w:marLeft w:val="48"/>
          <w:marRight w:val="48"/>
          <w:marTop w:val="48"/>
          <w:marBottom w:val="0"/>
          <w:divBdr>
            <w:top w:val="none" w:sz="0" w:space="0" w:color="auto"/>
            <w:left w:val="none" w:sz="0" w:space="0" w:color="auto"/>
            <w:bottom w:val="none" w:sz="0" w:space="0" w:color="auto"/>
            <w:right w:val="none" w:sz="0" w:space="0" w:color="auto"/>
          </w:divBdr>
          <w:divsChild>
            <w:div w:id="1695501347">
              <w:marLeft w:val="0"/>
              <w:marRight w:val="0"/>
              <w:marTop w:val="0"/>
              <w:marBottom w:val="0"/>
              <w:divBdr>
                <w:top w:val="none" w:sz="0" w:space="0" w:color="auto"/>
                <w:left w:val="none" w:sz="0" w:space="0" w:color="auto"/>
                <w:bottom w:val="none" w:sz="0" w:space="0" w:color="auto"/>
                <w:right w:val="none" w:sz="0" w:space="0" w:color="auto"/>
              </w:divBdr>
              <w:divsChild>
                <w:div w:id="1679190009">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59835114">
      <w:bodyDiv w:val="1"/>
      <w:marLeft w:val="0"/>
      <w:marRight w:val="0"/>
      <w:marTop w:val="0"/>
      <w:marBottom w:val="0"/>
      <w:divBdr>
        <w:top w:val="none" w:sz="0" w:space="0" w:color="auto"/>
        <w:left w:val="none" w:sz="0" w:space="0" w:color="auto"/>
        <w:bottom w:val="none" w:sz="0" w:space="0" w:color="auto"/>
        <w:right w:val="none" w:sz="0" w:space="0" w:color="auto"/>
      </w:divBdr>
      <w:divsChild>
        <w:div w:id="202062835">
          <w:marLeft w:val="48"/>
          <w:marRight w:val="48"/>
          <w:marTop w:val="48"/>
          <w:marBottom w:val="0"/>
          <w:divBdr>
            <w:top w:val="none" w:sz="0" w:space="0" w:color="auto"/>
            <w:left w:val="none" w:sz="0" w:space="0" w:color="auto"/>
            <w:bottom w:val="none" w:sz="0" w:space="0" w:color="auto"/>
            <w:right w:val="none" w:sz="0" w:space="0" w:color="auto"/>
          </w:divBdr>
          <w:divsChild>
            <w:div w:id="111830100">
              <w:marLeft w:val="0"/>
              <w:marRight w:val="0"/>
              <w:marTop w:val="0"/>
              <w:marBottom w:val="0"/>
              <w:divBdr>
                <w:top w:val="none" w:sz="0" w:space="0" w:color="auto"/>
                <w:left w:val="none" w:sz="0" w:space="0" w:color="auto"/>
                <w:bottom w:val="none" w:sz="0" w:space="0" w:color="auto"/>
                <w:right w:val="none" w:sz="0" w:space="0" w:color="auto"/>
              </w:divBdr>
              <w:divsChild>
                <w:div w:id="1007369350">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71239024">
      <w:bodyDiv w:val="1"/>
      <w:marLeft w:val="0"/>
      <w:marRight w:val="0"/>
      <w:marTop w:val="0"/>
      <w:marBottom w:val="0"/>
      <w:divBdr>
        <w:top w:val="none" w:sz="0" w:space="0" w:color="auto"/>
        <w:left w:val="none" w:sz="0" w:space="0" w:color="auto"/>
        <w:bottom w:val="none" w:sz="0" w:space="0" w:color="auto"/>
        <w:right w:val="none" w:sz="0" w:space="0" w:color="auto"/>
      </w:divBdr>
      <w:divsChild>
        <w:div w:id="39139242">
          <w:marLeft w:val="48"/>
          <w:marRight w:val="48"/>
          <w:marTop w:val="48"/>
          <w:marBottom w:val="0"/>
          <w:divBdr>
            <w:top w:val="none" w:sz="0" w:space="0" w:color="auto"/>
            <w:left w:val="none" w:sz="0" w:space="0" w:color="auto"/>
            <w:bottom w:val="none" w:sz="0" w:space="0" w:color="auto"/>
            <w:right w:val="none" w:sz="0" w:space="0" w:color="auto"/>
          </w:divBdr>
          <w:divsChild>
            <w:div w:id="1969622210">
              <w:marLeft w:val="0"/>
              <w:marRight w:val="0"/>
              <w:marTop w:val="0"/>
              <w:marBottom w:val="0"/>
              <w:divBdr>
                <w:top w:val="none" w:sz="0" w:space="0" w:color="auto"/>
                <w:left w:val="none" w:sz="0" w:space="0" w:color="auto"/>
                <w:bottom w:val="none" w:sz="0" w:space="0" w:color="auto"/>
                <w:right w:val="none" w:sz="0" w:space="0" w:color="auto"/>
              </w:divBdr>
              <w:divsChild>
                <w:div w:id="193202767">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30176994">
      <w:bodyDiv w:val="1"/>
      <w:marLeft w:val="0"/>
      <w:marRight w:val="0"/>
      <w:marTop w:val="0"/>
      <w:marBottom w:val="0"/>
      <w:divBdr>
        <w:top w:val="none" w:sz="0" w:space="0" w:color="auto"/>
        <w:left w:val="none" w:sz="0" w:space="0" w:color="auto"/>
        <w:bottom w:val="none" w:sz="0" w:space="0" w:color="auto"/>
        <w:right w:val="none" w:sz="0" w:space="0" w:color="auto"/>
      </w:divBdr>
      <w:divsChild>
        <w:div w:id="1381324072">
          <w:marLeft w:val="48"/>
          <w:marRight w:val="48"/>
          <w:marTop w:val="48"/>
          <w:marBottom w:val="0"/>
          <w:divBdr>
            <w:top w:val="none" w:sz="0" w:space="0" w:color="auto"/>
            <w:left w:val="none" w:sz="0" w:space="0" w:color="auto"/>
            <w:bottom w:val="none" w:sz="0" w:space="0" w:color="auto"/>
            <w:right w:val="none" w:sz="0" w:space="0" w:color="auto"/>
          </w:divBdr>
          <w:divsChild>
            <w:div w:id="422410003">
              <w:marLeft w:val="0"/>
              <w:marRight w:val="0"/>
              <w:marTop w:val="0"/>
              <w:marBottom w:val="0"/>
              <w:divBdr>
                <w:top w:val="none" w:sz="0" w:space="0" w:color="auto"/>
                <w:left w:val="none" w:sz="0" w:space="0" w:color="auto"/>
                <w:bottom w:val="none" w:sz="0" w:space="0" w:color="auto"/>
                <w:right w:val="none" w:sz="0" w:space="0" w:color="auto"/>
              </w:divBdr>
              <w:divsChild>
                <w:div w:id="191335119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44711587">
      <w:bodyDiv w:val="1"/>
      <w:marLeft w:val="0"/>
      <w:marRight w:val="0"/>
      <w:marTop w:val="0"/>
      <w:marBottom w:val="0"/>
      <w:divBdr>
        <w:top w:val="none" w:sz="0" w:space="0" w:color="auto"/>
        <w:left w:val="none" w:sz="0" w:space="0" w:color="auto"/>
        <w:bottom w:val="none" w:sz="0" w:space="0" w:color="auto"/>
        <w:right w:val="none" w:sz="0" w:space="0" w:color="auto"/>
      </w:divBdr>
      <w:divsChild>
        <w:div w:id="1327981038">
          <w:marLeft w:val="48"/>
          <w:marRight w:val="48"/>
          <w:marTop w:val="48"/>
          <w:marBottom w:val="0"/>
          <w:divBdr>
            <w:top w:val="none" w:sz="0" w:space="0" w:color="auto"/>
            <w:left w:val="none" w:sz="0" w:space="0" w:color="auto"/>
            <w:bottom w:val="none" w:sz="0" w:space="0" w:color="auto"/>
            <w:right w:val="none" w:sz="0" w:space="0" w:color="auto"/>
          </w:divBdr>
          <w:divsChild>
            <w:div w:id="774642218">
              <w:marLeft w:val="0"/>
              <w:marRight w:val="0"/>
              <w:marTop w:val="0"/>
              <w:marBottom w:val="0"/>
              <w:divBdr>
                <w:top w:val="none" w:sz="0" w:space="0" w:color="auto"/>
                <w:left w:val="none" w:sz="0" w:space="0" w:color="auto"/>
                <w:bottom w:val="none" w:sz="0" w:space="0" w:color="auto"/>
                <w:right w:val="none" w:sz="0" w:space="0" w:color="auto"/>
              </w:divBdr>
              <w:divsChild>
                <w:div w:id="39132854">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87957934">
      <w:bodyDiv w:val="1"/>
      <w:marLeft w:val="0"/>
      <w:marRight w:val="0"/>
      <w:marTop w:val="0"/>
      <w:marBottom w:val="0"/>
      <w:divBdr>
        <w:top w:val="none" w:sz="0" w:space="0" w:color="auto"/>
        <w:left w:val="none" w:sz="0" w:space="0" w:color="auto"/>
        <w:bottom w:val="none" w:sz="0" w:space="0" w:color="auto"/>
        <w:right w:val="none" w:sz="0" w:space="0" w:color="auto"/>
      </w:divBdr>
      <w:divsChild>
        <w:div w:id="529337208">
          <w:marLeft w:val="48"/>
          <w:marRight w:val="48"/>
          <w:marTop w:val="48"/>
          <w:marBottom w:val="0"/>
          <w:divBdr>
            <w:top w:val="none" w:sz="0" w:space="0" w:color="auto"/>
            <w:left w:val="none" w:sz="0" w:space="0" w:color="auto"/>
            <w:bottom w:val="none" w:sz="0" w:space="0" w:color="auto"/>
            <w:right w:val="none" w:sz="0" w:space="0" w:color="auto"/>
          </w:divBdr>
          <w:divsChild>
            <w:div w:id="219555783">
              <w:marLeft w:val="0"/>
              <w:marRight w:val="0"/>
              <w:marTop w:val="0"/>
              <w:marBottom w:val="0"/>
              <w:divBdr>
                <w:top w:val="none" w:sz="0" w:space="0" w:color="auto"/>
                <w:left w:val="none" w:sz="0" w:space="0" w:color="auto"/>
                <w:bottom w:val="none" w:sz="0" w:space="0" w:color="auto"/>
                <w:right w:val="none" w:sz="0" w:space="0" w:color="auto"/>
              </w:divBdr>
              <w:divsChild>
                <w:div w:id="420950340">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411318970">
      <w:bodyDiv w:val="1"/>
      <w:marLeft w:val="0"/>
      <w:marRight w:val="0"/>
      <w:marTop w:val="0"/>
      <w:marBottom w:val="0"/>
      <w:divBdr>
        <w:top w:val="none" w:sz="0" w:space="0" w:color="auto"/>
        <w:left w:val="none" w:sz="0" w:space="0" w:color="auto"/>
        <w:bottom w:val="none" w:sz="0" w:space="0" w:color="auto"/>
        <w:right w:val="none" w:sz="0" w:space="0" w:color="auto"/>
      </w:divBdr>
      <w:divsChild>
        <w:div w:id="1661500629">
          <w:marLeft w:val="48"/>
          <w:marRight w:val="48"/>
          <w:marTop w:val="48"/>
          <w:marBottom w:val="0"/>
          <w:divBdr>
            <w:top w:val="none" w:sz="0" w:space="0" w:color="auto"/>
            <w:left w:val="none" w:sz="0" w:space="0" w:color="auto"/>
            <w:bottom w:val="none" w:sz="0" w:space="0" w:color="auto"/>
            <w:right w:val="none" w:sz="0" w:space="0" w:color="auto"/>
          </w:divBdr>
          <w:divsChild>
            <w:div w:id="1808208403">
              <w:marLeft w:val="0"/>
              <w:marRight w:val="0"/>
              <w:marTop w:val="0"/>
              <w:marBottom w:val="0"/>
              <w:divBdr>
                <w:top w:val="none" w:sz="0" w:space="0" w:color="auto"/>
                <w:left w:val="none" w:sz="0" w:space="0" w:color="auto"/>
                <w:bottom w:val="none" w:sz="0" w:space="0" w:color="auto"/>
                <w:right w:val="none" w:sz="0" w:space="0" w:color="auto"/>
              </w:divBdr>
              <w:divsChild>
                <w:div w:id="1659840364">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439228602">
      <w:bodyDiv w:val="1"/>
      <w:marLeft w:val="0"/>
      <w:marRight w:val="0"/>
      <w:marTop w:val="0"/>
      <w:marBottom w:val="0"/>
      <w:divBdr>
        <w:top w:val="none" w:sz="0" w:space="0" w:color="auto"/>
        <w:left w:val="none" w:sz="0" w:space="0" w:color="auto"/>
        <w:bottom w:val="none" w:sz="0" w:space="0" w:color="auto"/>
        <w:right w:val="none" w:sz="0" w:space="0" w:color="auto"/>
      </w:divBdr>
      <w:divsChild>
        <w:div w:id="905578797">
          <w:marLeft w:val="48"/>
          <w:marRight w:val="48"/>
          <w:marTop w:val="48"/>
          <w:marBottom w:val="0"/>
          <w:divBdr>
            <w:top w:val="none" w:sz="0" w:space="0" w:color="auto"/>
            <w:left w:val="none" w:sz="0" w:space="0" w:color="auto"/>
            <w:bottom w:val="none" w:sz="0" w:space="0" w:color="auto"/>
            <w:right w:val="none" w:sz="0" w:space="0" w:color="auto"/>
          </w:divBdr>
          <w:divsChild>
            <w:div w:id="1253590686">
              <w:marLeft w:val="0"/>
              <w:marRight w:val="0"/>
              <w:marTop w:val="0"/>
              <w:marBottom w:val="0"/>
              <w:divBdr>
                <w:top w:val="none" w:sz="0" w:space="0" w:color="auto"/>
                <w:left w:val="none" w:sz="0" w:space="0" w:color="auto"/>
                <w:bottom w:val="none" w:sz="0" w:space="0" w:color="auto"/>
                <w:right w:val="none" w:sz="0" w:space="0" w:color="auto"/>
              </w:divBdr>
              <w:divsChild>
                <w:div w:id="1796174151">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444692147">
      <w:bodyDiv w:val="1"/>
      <w:marLeft w:val="0"/>
      <w:marRight w:val="0"/>
      <w:marTop w:val="0"/>
      <w:marBottom w:val="0"/>
      <w:divBdr>
        <w:top w:val="none" w:sz="0" w:space="0" w:color="auto"/>
        <w:left w:val="none" w:sz="0" w:space="0" w:color="auto"/>
        <w:bottom w:val="none" w:sz="0" w:space="0" w:color="auto"/>
        <w:right w:val="none" w:sz="0" w:space="0" w:color="auto"/>
      </w:divBdr>
      <w:divsChild>
        <w:div w:id="968513629">
          <w:marLeft w:val="48"/>
          <w:marRight w:val="48"/>
          <w:marTop w:val="48"/>
          <w:marBottom w:val="0"/>
          <w:divBdr>
            <w:top w:val="none" w:sz="0" w:space="0" w:color="auto"/>
            <w:left w:val="none" w:sz="0" w:space="0" w:color="auto"/>
            <w:bottom w:val="none" w:sz="0" w:space="0" w:color="auto"/>
            <w:right w:val="none" w:sz="0" w:space="0" w:color="auto"/>
          </w:divBdr>
          <w:divsChild>
            <w:div w:id="371270500">
              <w:marLeft w:val="0"/>
              <w:marRight w:val="0"/>
              <w:marTop w:val="0"/>
              <w:marBottom w:val="0"/>
              <w:divBdr>
                <w:top w:val="none" w:sz="0" w:space="0" w:color="auto"/>
                <w:left w:val="none" w:sz="0" w:space="0" w:color="auto"/>
                <w:bottom w:val="none" w:sz="0" w:space="0" w:color="auto"/>
                <w:right w:val="none" w:sz="0" w:space="0" w:color="auto"/>
              </w:divBdr>
              <w:divsChild>
                <w:div w:id="1371416346">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463274486">
      <w:bodyDiv w:val="1"/>
      <w:marLeft w:val="0"/>
      <w:marRight w:val="0"/>
      <w:marTop w:val="0"/>
      <w:marBottom w:val="0"/>
      <w:divBdr>
        <w:top w:val="none" w:sz="0" w:space="0" w:color="auto"/>
        <w:left w:val="none" w:sz="0" w:space="0" w:color="auto"/>
        <w:bottom w:val="none" w:sz="0" w:space="0" w:color="auto"/>
        <w:right w:val="none" w:sz="0" w:space="0" w:color="auto"/>
      </w:divBdr>
      <w:divsChild>
        <w:div w:id="1570533204">
          <w:marLeft w:val="48"/>
          <w:marRight w:val="48"/>
          <w:marTop w:val="48"/>
          <w:marBottom w:val="0"/>
          <w:divBdr>
            <w:top w:val="none" w:sz="0" w:space="0" w:color="auto"/>
            <w:left w:val="none" w:sz="0" w:space="0" w:color="auto"/>
            <w:bottom w:val="none" w:sz="0" w:space="0" w:color="auto"/>
            <w:right w:val="none" w:sz="0" w:space="0" w:color="auto"/>
          </w:divBdr>
          <w:divsChild>
            <w:div w:id="1457455517">
              <w:marLeft w:val="0"/>
              <w:marRight w:val="0"/>
              <w:marTop w:val="0"/>
              <w:marBottom w:val="0"/>
              <w:divBdr>
                <w:top w:val="none" w:sz="0" w:space="0" w:color="auto"/>
                <w:left w:val="none" w:sz="0" w:space="0" w:color="auto"/>
                <w:bottom w:val="none" w:sz="0" w:space="0" w:color="auto"/>
                <w:right w:val="none" w:sz="0" w:space="0" w:color="auto"/>
              </w:divBdr>
              <w:divsChild>
                <w:div w:id="48493332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564685492">
      <w:bodyDiv w:val="1"/>
      <w:marLeft w:val="0"/>
      <w:marRight w:val="0"/>
      <w:marTop w:val="0"/>
      <w:marBottom w:val="0"/>
      <w:divBdr>
        <w:top w:val="none" w:sz="0" w:space="0" w:color="auto"/>
        <w:left w:val="none" w:sz="0" w:space="0" w:color="auto"/>
        <w:bottom w:val="none" w:sz="0" w:space="0" w:color="auto"/>
        <w:right w:val="none" w:sz="0" w:space="0" w:color="auto"/>
      </w:divBdr>
      <w:divsChild>
        <w:div w:id="839588917">
          <w:marLeft w:val="48"/>
          <w:marRight w:val="48"/>
          <w:marTop w:val="48"/>
          <w:marBottom w:val="0"/>
          <w:divBdr>
            <w:top w:val="none" w:sz="0" w:space="0" w:color="auto"/>
            <w:left w:val="none" w:sz="0" w:space="0" w:color="auto"/>
            <w:bottom w:val="none" w:sz="0" w:space="0" w:color="auto"/>
            <w:right w:val="none" w:sz="0" w:space="0" w:color="auto"/>
          </w:divBdr>
          <w:divsChild>
            <w:div w:id="601838472">
              <w:marLeft w:val="0"/>
              <w:marRight w:val="0"/>
              <w:marTop w:val="0"/>
              <w:marBottom w:val="0"/>
              <w:divBdr>
                <w:top w:val="none" w:sz="0" w:space="0" w:color="auto"/>
                <w:left w:val="none" w:sz="0" w:space="0" w:color="auto"/>
                <w:bottom w:val="none" w:sz="0" w:space="0" w:color="auto"/>
                <w:right w:val="none" w:sz="0" w:space="0" w:color="auto"/>
              </w:divBdr>
              <w:divsChild>
                <w:div w:id="1096245592">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990138890">
      <w:bodyDiv w:val="1"/>
      <w:marLeft w:val="0"/>
      <w:marRight w:val="0"/>
      <w:marTop w:val="0"/>
      <w:marBottom w:val="0"/>
      <w:divBdr>
        <w:top w:val="none" w:sz="0" w:space="0" w:color="auto"/>
        <w:left w:val="none" w:sz="0" w:space="0" w:color="auto"/>
        <w:bottom w:val="none" w:sz="0" w:space="0" w:color="auto"/>
        <w:right w:val="none" w:sz="0" w:space="0" w:color="auto"/>
      </w:divBdr>
      <w:divsChild>
        <w:div w:id="1881360414">
          <w:marLeft w:val="48"/>
          <w:marRight w:val="48"/>
          <w:marTop w:val="48"/>
          <w:marBottom w:val="0"/>
          <w:divBdr>
            <w:top w:val="none" w:sz="0" w:space="0" w:color="auto"/>
            <w:left w:val="none" w:sz="0" w:space="0" w:color="auto"/>
            <w:bottom w:val="none" w:sz="0" w:space="0" w:color="auto"/>
            <w:right w:val="none" w:sz="0" w:space="0" w:color="auto"/>
          </w:divBdr>
          <w:divsChild>
            <w:div w:id="757294574">
              <w:marLeft w:val="0"/>
              <w:marRight w:val="0"/>
              <w:marTop w:val="0"/>
              <w:marBottom w:val="0"/>
              <w:divBdr>
                <w:top w:val="none" w:sz="0" w:space="0" w:color="auto"/>
                <w:left w:val="none" w:sz="0" w:space="0" w:color="auto"/>
                <w:bottom w:val="none" w:sz="0" w:space="0" w:color="auto"/>
                <w:right w:val="none" w:sz="0" w:space="0" w:color="auto"/>
              </w:divBdr>
              <w:divsChild>
                <w:div w:id="2753788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153982994">
      <w:bodyDiv w:val="1"/>
      <w:marLeft w:val="0"/>
      <w:marRight w:val="0"/>
      <w:marTop w:val="0"/>
      <w:marBottom w:val="0"/>
      <w:divBdr>
        <w:top w:val="none" w:sz="0" w:space="0" w:color="auto"/>
        <w:left w:val="none" w:sz="0" w:space="0" w:color="auto"/>
        <w:bottom w:val="none" w:sz="0" w:space="0" w:color="auto"/>
        <w:right w:val="none" w:sz="0" w:space="0" w:color="auto"/>
      </w:divBdr>
      <w:divsChild>
        <w:div w:id="487481856">
          <w:marLeft w:val="48"/>
          <w:marRight w:val="48"/>
          <w:marTop w:val="48"/>
          <w:marBottom w:val="0"/>
          <w:divBdr>
            <w:top w:val="none" w:sz="0" w:space="0" w:color="auto"/>
            <w:left w:val="none" w:sz="0" w:space="0" w:color="auto"/>
            <w:bottom w:val="none" w:sz="0" w:space="0" w:color="auto"/>
            <w:right w:val="none" w:sz="0" w:space="0" w:color="auto"/>
          </w:divBdr>
          <w:divsChild>
            <w:div w:id="1411734962">
              <w:marLeft w:val="0"/>
              <w:marRight w:val="0"/>
              <w:marTop w:val="0"/>
              <w:marBottom w:val="0"/>
              <w:divBdr>
                <w:top w:val="none" w:sz="0" w:space="0" w:color="auto"/>
                <w:left w:val="none" w:sz="0" w:space="0" w:color="auto"/>
                <w:bottom w:val="none" w:sz="0" w:space="0" w:color="auto"/>
                <w:right w:val="none" w:sz="0" w:space="0" w:color="auto"/>
              </w:divBdr>
              <w:divsChild>
                <w:div w:id="59940824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189484787">
      <w:bodyDiv w:val="1"/>
      <w:marLeft w:val="0"/>
      <w:marRight w:val="0"/>
      <w:marTop w:val="0"/>
      <w:marBottom w:val="0"/>
      <w:divBdr>
        <w:top w:val="none" w:sz="0" w:space="0" w:color="auto"/>
        <w:left w:val="none" w:sz="0" w:space="0" w:color="auto"/>
        <w:bottom w:val="none" w:sz="0" w:space="0" w:color="auto"/>
        <w:right w:val="none" w:sz="0" w:space="0" w:color="auto"/>
      </w:divBdr>
    </w:div>
    <w:div w:id="1361739684">
      <w:bodyDiv w:val="1"/>
      <w:marLeft w:val="0"/>
      <w:marRight w:val="0"/>
      <w:marTop w:val="0"/>
      <w:marBottom w:val="0"/>
      <w:divBdr>
        <w:top w:val="none" w:sz="0" w:space="0" w:color="auto"/>
        <w:left w:val="none" w:sz="0" w:space="0" w:color="auto"/>
        <w:bottom w:val="none" w:sz="0" w:space="0" w:color="auto"/>
        <w:right w:val="none" w:sz="0" w:space="0" w:color="auto"/>
      </w:divBdr>
      <w:divsChild>
        <w:div w:id="1011840244">
          <w:marLeft w:val="48"/>
          <w:marRight w:val="48"/>
          <w:marTop w:val="48"/>
          <w:marBottom w:val="0"/>
          <w:divBdr>
            <w:top w:val="none" w:sz="0" w:space="0" w:color="auto"/>
            <w:left w:val="none" w:sz="0" w:space="0" w:color="auto"/>
            <w:bottom w:val="none" w:sz="0" w:space="0" w:color="auto"/>
            <w:right w:val="none" w:sz="0" w:space="0" w:color="auto"/>
          </w:divBdr>
          <w:divsChild>
            <w:div w:id="22367122">
              <w:marLeft w:val="0"/>
              <w:marRight w:val="0"/>
              <w:marTop w:val="0"/>
              <w:marBottom w:val="0"/>
              <w:divBdr>
                <w:top w:val="none" w:sz="0" w:space="0" w:color="auto"/>
                <w:left w:val="none" w:sz="0" w:space="0" w:color="auto"/>
                <w:bottom w:val="none" w:sz="0" w:space="0" w:color="auto"/>
                <w:right w:val="none" w:sz="0" w:space="0" w:color="auto"/>
              </w:divBdr>
              <w:divsChild>
                <w:div w:id="591814469">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371564986">
      <w:bodyDiv w:val="1"/>
      <w:marLeft w:val="0"/>
      <w:marRight w:val="0"/>
      <w:marTop w:val="0"/>
      <w:marBottom w:val="0"/>
      <w:divBdr>
        <w:top w:val="none" w:sz="0" w:space="0" w:color="auto"/>
        <w:left w:val="none" w:sz="0" w:space="0" w:color="auto"/>
        <w:bottom w:val="none" w:sz="0" w:space="0" w:color="auto"/>
        <w:right w:val="none" w:sz="0" w:space="0" w:color="auto"/>
      </w:divBdr>
      <w:divsChild>
        <w:div w:id="1432552874">
          <w:marLeft w:val="48"/>
          <w:marRight w:val="48"/>
          <w:marTop w:val="48"/>
          <w:marBottom w:val="0"/>
          <w:divBdr>
            <w:top w:val="none" w:sz="0" w:space="0" w:color="auto"/>
            <w:left w:val="none" w:sz="0" w:space="0" w:color="auto"/>
            <w:bottom w:val="none" w:sz="0" w:space="0" w:color="auto"/>
            <w:right w:val="none" w:sz="0" w:space="0" w:color="auto"/>
          </w:divBdr>
          <w:divsChild>
            <w:div w:id="280382622">
              <w:marLeft w:val="0"/>
              <w:marRight w:val="0"/>
              <w:marTop w:val="0"/>
              <w:marBottom w:val="0"/>
              <w:divBdr>
                <w:top w:val="none" w:sz="0" w:space="0" w:color="auto"/>
                <w:left w:val="none" w:sz="0" w:space="0" w:color="auto"/>
                <w:bottom w:val="none" w:sz="0" w:space="0" w:color="auto"/>
                <w:right w:val="none" w:sz="0" w:space="0" w:color="auto"/>
              </w:divBdr>
              <w:divsChild>
                <w:div w:id="1992902258">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643266810">
      <w:bodyDiv w:val="1"/>
      <w:marLeft w:val="0"/>
      <w:marRight w:val="0"/>
      <w:marTop w:val="0"/>
      <w:marBottom w:val="0"/>
      <w:divBdr>
        <w:top w:val="none" w:sz="0" w:space="0" w:color="auto"/>
        <w:left w:val="none" w:sz="0" w:space="0" w:color="auto"/>
        <w:bottom w:val="none" w:sz="0" w:space="0" w:color="auto"/>
        <w:right w:val="none" w:sz="0" w:space="0" w:color="auto"/>
      </w:divBdr>
      <w:divsChild>
        <w:div w:id="1896700159">
          <w:marLeft w:val="48"/>
          <w:marRight w:val="48"/>
          <w:marTop w:val="48"/>
          <w:marBottom w:val="0"/>
          <w:divBdr>
            <w:top w:val="none" w:sz="0" w:space="0" w:color="auto"/>
            <w:left w:val="none" w:sz="0" w:space="0" w:color="auto"/>
            <w:bottom w:val="none" w:sz="0" w:space="0" w:color="auto"/>
            <w:right w:val="none" w:sz="0" w:space="0" w:color="auto"/>
          </w:divBdr>
          <w:divsChild>
            <w:div w:id="1253466015">
              <w:marLeft w:val="0"/>
              <w:marRight w:val="0"/>
              <w:marTop w:val="0"/>
              <w:marBottom w:val="0"/>
              <w:divBdr>
                <w:top w:val="none" w:sz="0" w:space="0" w:color="auto"/>
                <w:left w:val="none" w:sz="0" w:space="0" w:color="auto"/>
                <w:bottom w:val="none" w:sz="0" w:space="0" w:color="auto"/>
                <w:right w:val="none" w:sz="0" w:space="0" w:color="auto"/>
              </w:divBdr>
              <w:divsChild>
                <w:div w:id="173311923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 w:id="1870533483">
      <w:bodyDiv w:val="1"/>
      <w:marLeft w:val="0"/>
      <w:marRight w:val="0"/>
      <w:marTop w:val="0"/>
      <w:marBottom w:val="0"/>
      <w:divBdr>
        <w:top w:val="none" w:sz="0" w:space="0" w:color="auto"/>
        <w:left w:val="none" w:sz="0" w:space="0" w:color="auto"/>
        <w:bottom w:val="none" w:sz="0" w:space="0" w:color="auto"/>
        <w:right w:val="none" w:sz="0" w:space="0" w:color="auto"/>
      </w:divBdr>
      <w:divsChild>
        <w:div w:id="2004355736">
          <w:marLeft w:val="48"/>
          <w:marRight w:val="48"/>
          <w:marTop w:val="48"/>
          <w:marBottom w:val="0"/>
          <w:divBdr>
            <w:top w:val="none" w:sz="0" w:space="0" w:color="auto"/>
            <w:left w:val="none" w:sz="0" w:space="0" w:color="auto"/>
            <w:bottom w:val="none" w:sz="0" w:space="0" w:color="auto"/>
            <w:right w:val="none" w:sz="0" w:space="0" w:color="auto"/>
          </w:divBdr>
          <w:divsChild>
            <w:div w:id="960261484">
              <w:marLeft w:val="0"/>
              <w:marRight w:val="0"/>
              <w:marTop w:val="0"/>
              <w:marBottom w:val="0"/>
              <w:divBdr>
                <w:top w:val="none" w:sz="0" w:space="0" w:color="auto"/>
                <w:left w:val="none" w:sz="0" w:space="0" w:color="auto"/>
                <w:bottom w:val="none" w:sz="0" w:space="0" w:color="auto"/>
                <w:right w:val="none" w:sz="0" w:space="0" w:color="auto"/>
              </w:divBdr>
              <w:divsChild>
                <w:div w:id="1335651163">
                  <w:marLeft w:val="0"/>
                  <w:marRight w:val="0"/>
                  <w:marTop w:val="120"/>
                  <w:marBottom w:val="120"/>
                  <w:divBdr>
                    <w:top w:val="none" w:sz="0" w:space="0" w:color="009600"/>
                    <w:left w:val="single" w:sz="4" w:space="5" w:color="auto"/>
                    <w:bottom w:val="none" w:sz="0" w:space="0" w:color="009600"/>
                    <w:right w:val="none" w:sz="0" w:space="0" w:color="0096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dv2hdzEqmXPXw" TargetMode="External"/><Relationship Id="rId13" Type="http://schemas.openxmlformats.org/officeDocument/2006/relationships/hyperlink" Target="https://yadi.sk/i/wmVK7wZdmXPe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adi.sk/i/NqHIm4jGmXPW2" TargetMode="External"/><Relationship Id="rId12" Type="http://schemas.openxmlformats.org/officeDocument/2006/relationships/hyperlink" Target="https://yadi.sk/i/RaTwDjIZmXPdV" TargetMode="External"/><Relationship Id="rId17" Type="http://schemas.openxmlformats.org/officeDocument/2006/relationships/hyperlink" Target="https://yadi.sk/d/mrTy-KZfmXPrQ" TargetMode="External"/><Relationship Id="rId2" Type="http://schemas.openxmlformats.org/officeDocument/2006/relationships/settings" Target="settings.xml"/><Relationship Id="rId16" Type="http://schemas.openxmlformats.org/officeDocument/2006/relationships/hyperlink" Target="https://yadi.sk/i/8AhD45LfmXPi7" TargetMode="External"/><Relationship Id="rId1" Type="http://schemas.openxmlformats.org/officeDocument/2006/relationships/styles" Target="styles.xml"/><Relationship Id="rId6" Type="http://schemas.openxmlformats.org/officeDocument/2006/relationships/hyperlink" Target="https://yadi.sk/i/EaV_zXNWmXPUS" TargetMode="External"/><Relationship Id="rId11" Type="http://schemas.openxmlformats.org/officeDocument/2006/relationships/hyperlink" Target="https://yadi.sk/i/WfsDRse0mXPce" TargetMode="External"/><Relationship Id="rId5" Type="http://schemas.openxmlformats.org/officeDocument/2006/relationships/hyperlink" Target="https://yadi.sk/d/c8zsWyubmXPSe" TargetMode="External"/><Relationship Id="rId15" Type="http://schemas.openxmlformats.org/officeDocument/2006/relationships/hyperlink" Target="https://yadi.sk/i/6DvtHhoPmXPgQ" TargetMode="External"/><Relationship Id="rId10" Type="http://schemas.openxmlformats.org/officeDocument/2006/relationships/hyperlink" Target="https://yadi.sk/i/IOiCOci1mXPbo"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yadi.sk/i/hSdXP5w6mXPa4" TargetMode="External"/><Relationship Id="rId14" Type="http://schemas.openxmlformats.org/officeDocument/2006/relationships/hyperlink" Target="https://yadi.sk/i/t_RuYxz-mXP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1829</Words>
  <Characters>10429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7</cp:revision>
  <dcterms:created xsi:type="dcterms:W3CDTF">2015-12-26T18:00:00Z</dcterms:created>
  <dcterms:modified xsi:type="dcterms:W3CDTF">2015-12-27T18:21:00Z</dcterms:modified>
</cp:coreProperties>
</file>