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E" w:rsidRDefault="00F2160E" w:rsidP="00D3551E">
      <w:pPr>
        <w:pStyle w:val="a3"/>
        <w:rPr>
          <w:rFonts w:ascii="Trebuchet MS" w:hAnsi="Trebuchet MS"/>
          <w:color w:val="365F91" w:themeColor="accent1" w:themeShade="BF"/>
          <w:lang w:val="lv-LV"/>
        </w:rPr>
      </w:pPr>
      <w:r>
        <w:rPr>
          <w:rFonts w:ascii="Trebuchet MS" w:hAnsi="Trebuchet MS"/>
          <w:color w:val="365F91" w:themeColor="accent1" w:themeShade="BF"/>
          <w:lang w:val="lv-LV"/>
        </w:rPr>
        <w:t>Žurnāls “Avots” 1987</w:t>
      </w:r>
      <w:r w:rsidRPr="00F2160E">
        <w:rPr>
          <w:rFonts w:ascii="Trebuchet MS" w:hAnsi="Trebuchet MS"/>
          <w:color w:val="365F91" w:themeColor="accent1" w:themeShade="BF"/>
          <w:lang w:val="lv-LV"/>
        </w:rPr>
        <w:t>.01-12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204210" cy="4190365"/>
            <wp:effectExtent l="19050" t="0" r="0" b="0"/>
            <wp:docPr id="1" name="Рисунок 1" descr="http://egramatas.blog.com/files/2015/12/Avots1987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ramatas.blog.com/files/2015/12/Avots1987N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5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1987.01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Andris Puriņš «Zilā jumprava» — 1. Ipp. Amanda Aizpuriet</w:t>
      </w:r>
      <w:r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e, dzejo</w:t>
      </w:r>
      <w:r>
        <w:rPr>
          <w:rFonts w:ascii="Georgia" w:eastAsia="Times New Roman" w:hAnsi="Georgia" w:cs="Times New Roman"/>
          <w:color w:val="000000"/>
          <w:sz w:val="16"/>
          <w:szCs w:val="16"/>
          <w:lang w:val="lv-LV" w:eastAsia="ru-RU"/>
        </w:rPr>
        <w:t>ļ</w:t>
      </w:r>
      <w:r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i — 12. Ipp. Aivars Kļ</w:t>
      </w:r>
      <w:r>
        <w:rPr>
          <w:rFonts w:ascii="Georgia" w:eastAsia="Times New Roman" w:hAnsi="Georgia" w:cs="Times New Roman"/>
          <w:color w:val="000000"/>
          <w:sz w:val="16"/>
          <w:szCs w:val="16"/>
          <w:lang w:val="lv-LV" w:eastAsia="ru-RU"/>
        </w:rPr>
        <w:t>a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vis «Nakts» — 14. Ipp. Jeļena Sarana, dzejoļi — 19. Ipp. Juris Zvirgzdiņš «Esse …» — 20. Ipp. Juris Kunnoss «Pieci dzejoļi par mazpazīstamu temu» — 22. Ipp. Rimants Ziedonis «Pļava» — 24. Ipp. Džons Lenons &amp; Pols Makartnijs «Lēdija Madonna» u. c. teksti — 28. Ipp. Inter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vija ar Andri Kolbergu — 30. Ipp. ; Xx gadsimta kultūra un latvija ; Jānis Borgs «Dada — viss lielaja nekas» — 34. Ipp. Ilmārs Blum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bergs «Veltījums žurnāla «Avots» pirmajam numuram» 38. Ipp. ; Mākslu krustcelēs ; Pēteris Krilovs, Sarmīte Elerte «Paši» — 39. Ipp. Gundega Repse «Nervoza laika komentārs» — 41. Ipp. Inese Riņķe «Aktīva māksla» — 44. Ipp. Gundars Liberts «Spele uz visaugstako likmi» — 48. Ipp. Diskusija «Kapec mums nav vajadzīgs jauns teātris …» — 50. Ipp. «Fotomape» — 53. Ipp. «Rekviems Mo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cartam» — 58. Ipp. ; Laikabiedra piezīmes ; Silvija Veckalne «Necerot uz grēku atlaidi» — 60. Ipp. Gints Jansons «Kur jūs palikāt?» — 62. Ipp. Oļegs Mihaļevičs ««Fir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mas» krahs» — 64. Ipp. Rita Kristsone «… bus svētki un ļaudis dziedās» — 68. Ipp. Ksenija Zagorovska «Atgūt butību» — 70. Ipp. Intervija ar kolhoza «Baldone» priekšsēdētaja vietnieku Valdi Breitbergu — 72. Ipp. Valerijs Agranovskis «Aukstais nams» — 74. Ipp. Gints Jansons «Kas mes šeit esam?» — 78. Ipp. Atbildam lasītājam — 80. Ipp. ;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6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1987.02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Andris Puriņš «Zilā jumprava» — 1. Ipp. Agris Poikāns, dzejoļi — 12. Ipp. Vladis Spāre «Izolatora» — 14. Ipp. Intervija ar Čingizu Aitmatovu— 18. Ipp. Valda Melgalve «Jēkaba Jēkabsona pasaule» — 20. Ipp. Georgs Trākls, dzejoļi — 23. Ipp. Vladimirs Visockis, dzejoļi — 26. Ipp. Jurijs Krivonoss, iro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niskā proza — 28. Ipp. Knuts Skujenieks «Strādnieki savā dzim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tajā literatūrā» — 29. Ipp. ; Xx gadsimta kultura un latvija ; Intervija ar Džemmu Skulmi — 32. Ipp. Andrejs Grāpis «Ka tapa kultūras darbinieks» — 40. Ipp. Dainis Reinfelds «Par divu mītu vēsturi» — 43. Ipp. ; Mākslu krustceles ; Ilga Reizniece «Tas nepasakāmais ir izdziedams» — 46. Ipp. Egils Līcītis «Līvi» — 48. Ipp. Turpinām diskusiju par teātri — 53. Ipp. Jurijs Lotmans «Lelles kultūras sistēmā» — 54. Ipp. «Fotomape» — 56. Ipp. ; Laikabiedra piezīmes ; Dace Terzena «Jādzīvo tālāk. Kā?» — 60. Ipp. «Pajumte ne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pateicīgajiem» — 62. Ipp. Republikas jaunatnes dzīves vadī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tāju saruna — 66. Ipp. Egils Līviņš «Inteliģenti atvadoties ar pipariem uz mēles…» — 67. Ipp. Dainis Lemešonoks «Starp pelēko uzvalku un … un ko tad?» — 69. Ipp. Dzintra Ciekurzne «Ko dzīvīte prasa no slaucējas. Un otrādi» — 71. Ipp. Jānis Miķelsons «Jums nav visi mājās» — 73. Ipp. Georgijs Celms «Cilvēks ar sakariem» — 76. Ipp. Aleksandrs Bogols, Leonīds Sandlers «Apvērsums karaļa galmā» — 78. Ipp. «Atraidīto sa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lons» — 80. Ipp. ;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7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1987.03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lastRenderedPageBreak/>
        <w:t>Rakstniecība ; Andris Puriņš, «Zilā Jumprava» — 1. Ipp. Augusts Milts, «Kon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flikts» — 14. Ipp. Inese Zandere, dzejoļi — 16. Ipp. Gundega Repše, «Kapteiņa meitiņa — Viljamsa trakā» — 18. Ipp. Inter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vija ar Māru Zālīti — 22. Ipp. Albērs Kāmī, «Prometejs ellē» — 26. Ipp. Oktajs Rifats, dzejoļi — 28. Ipp. Bobs Dilans, dziesmu teksti — 30. Ipp. ; XX gadsimta kultura un Latvija ; Gundega Repše, «Jautajums par «sieviešu jauta jumu»» — 33. Ipp. ; Mākslu krustceles ; Ābrams Kļockins, «Konflikts? Nē. Pretruna» — 40. Ipp. Ingus Baušķenieks, Egils Līcītis, «Nepiederošiem ieeja aizliegta» — 43. Ipp. Andris Bergmanis, «Vietas mācība — sakņu mācība» — 47. Ipp. Inna Solovjova, «Gaisma augustā» — 50. Ipp. «Ko darīt jaunam režisoram?» — 54. Ipp. «Fotomape» — 56. Ipp. Līga Peinberga, «Jāņa Poruka personības un dzejas filozofiskie pa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mati» — 62. Ipp. ; Laikabiedra piezīmes ; Monika Zīle, «Ar svešu kupri mugurā» — 64. Ipp. Pēteris Apinis, «Vājais, brauc ātri prom!» — 67. Ipp. Pēteris Laķis, «Jaunatnes sociālā noslāņošanās mūsdienās» — 72. Ipp. Juris Blaumanis, «Māsas» — 74. Ipp. Jānis Vahers, «Apgādnieks apgādājamā lomā» — 78. Ipp. ;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8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1987.04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Rakstniecība ; «Rīga, 1987. gada februāris» — 1. Ipp. Andris Puriņš, «Zilā jumprava» — 2. Ipp. Guntars Godiņš, dzejoļi — 16. Ipp. Vilnis Eihvalds, «Dažas margināiijas A. Čaka varoņepā» — 18. Ipp. Arturs Snips, «Nāc nākdama vīrestība» — 23. Ipp. žoržs Brasanss, dziesmu teksti — 28. Ipp. Andris Žebers, dzejoļi — 30. Ipp. Klāva Elsberga piemiņai — 32. Ipp. ; Xx gadsimta kultūra un latvija ; Jānis Borgs, «Ģipša cilvēks» — 35. Ipp. «Cilvēks. Laiks. Vēsturē. Atmiņa» — 41. Ipp. ; Mākslu krustcelēs ; Inga Pērkone, «Vai viegli būt jaunam?» — 44. Ipp. Māris Grīn- blats, «Birokratizējošā mīkstmieša akvārijs» — 46. Ipp. Guna Zel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tiņa, «Septiņi mirdzoši zirgi totalitārisma un mūžīgās cerības aiz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softHyphen/>
        <w:t>jūgā» — 50. Ipp. «Fotomape» — 54. Ipp. ; Laikabiedra piezīmes ; Pēteris Apinis, «Vājais, brauc ātri prom!» — 60. Ipp. «Pajumte nepateicīgajiem» — 64. Ipp. Aivars Berķis, «Ant, nejāj stikla kalnā!» — 72. Ipp. Oļegs Mihaļēvičs, «Cilvēki un automobiļi» — 74. Ipp. Brigita Brīdaka, «Loma visam mūžam?» — 76. Ipp. ;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1987.05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Andris Puriņš, «Zilā Jumprava» — 1. lpp. Māris Melgalvs, dzejoļi — 14. lpp. Arsenijs Formakovs, ««Dzejnieku karalis», Krievzemes dēls» — 16. lpp. Mārtiņš Zelmenis, īsproza — 18. lpp. Nikolajs Gudaņecs, dzejoļi — 22. lpp. Dainis Grīnvalds, «Pils» — 24. lpp. Egils Plaudis, «Kuģis no Argentīnas» — 29. lpp. Bulats Okudžava, dziesmu teksti — 32.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Rakstniecība.Kultūra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Laima Slava, «Latvija tēlniecības pasaulē» — 34. lpp. Paulīna Keila, «Smīkņājot» — 40. lpp. Hardijs Lediņš, «Avangards nav avangards» — 43. lpp. «Alvils Ceplis laikabiedru atmiņās» — 46. lpp. «20. gadi Latvijā» — 48. lpp. Harijs Hiršs, «Apziņas plūsmas lietojums prozā» — 54. lpp. Aleksis Grigorjevs, «Latviešu «jaunā proza»: varoņi un apstākļi» — 56. lpp. «Foto-mape» — 58. lpp. Normunds Naumanis, «Piezīmes uz kāda tukla mīta spārniņiem» — 62.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Laikabiedra piezīmes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«Latvijas ĻKJS XXIII kongresā» — 64. lpp. Ināra Egle, «Sastrādāties sadzīvojot» — 66. lpp. Gints Jansons, «Biju pie pārliecības» — 68. lpp. Brigita Brīdaka, «Loma visam mūžam?» — 71. lpp. Dainis Lemešonoks, «Kā man, lūdzu, būtu jādomā!» — 76. lpp. Benedikts Kalnačs, «Par destilētām zināšanām un zilo putnu krātiņā» — 78. lpp. «Lasītāju vēstuļu apskats» — 79.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10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1987.06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Rakstniecība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Andris Puriņš, «Zilā Jumprava» — I. lpp. Māris Čaklais, dzejoļi—10. lpp. Aivars Ozoliņš, «Gandrīz simts»—12. lpp. Vojcehs Mlinarskis, dziesmu teksti — 20. lpp. Anrī Truajā, «Zaļā piezīmju grāmatiņa» — 22. lpp. Linards Tauns, dzejoļi — 26. lpp. Egils Zirnis, dzejoļi — 30.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Kultūra un laiks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Ansis Epners, «Trīs sārti āboli sarkanā aplī» — 32. lpp. Normunds Lācis, «Aicinājums» — 36. lpp. Imants Zemzaris, «Vidu — «I|ģi»» — 41. lpp. «Fotomape» — 44. lpp. Andris Jansons, «Dievs raudāja ākstam līdzi...» — 49. lpp. «Jaunatne Latvijā trīsdesmitajos gados» — 51. lpp. Vilnis Vējš, «Sēdēšana uz tēmas» — 56. lpp. Leonards Lāpins, «Melnā kvadrāta maģija» — 58.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Laikabiedra piezīmes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Brigita Brīdaka, «Loma visam mūžam?» — 61. lpp. Andris Berg-manis, «Vai tik tiešām? ...» — 65. lpp. Tamara Ringa, «Tikai tev vienīgajam» — 67. lpp. «Pajumte nepateicīgajiem» — 70. lpp. Juris Visockis, «Balināto čībiņu alternatīva» — 73.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Jurijs Glancs, «Mirusī mītne» — 76. lpp. «Atraidīto salons» — 80. lpp.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11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1987.07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Rakstniecība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Aivars Ozoliņš, «Gandrīz simts» — 1. Ipp. Mara Zālīte, «Dzīvais ūdens» — 14. Ipp. Pēters Brūveris, vienrindes — 20. Ipp. Sergejs Stankevičs, «Spēle vienatnē» — 22. Ipp. Karels Sīss, dzejoļi — 25. Ipp. Džeimss G. Balards, «Baiļu zona» — 26. Ipp. Pols Saimons, dziesmu teksti — 30.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Ipp. No Nikolaja Rēriha radošā mantojuma — 32. Ipp.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Kultūra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Arturs Goba, «Vai «cimdu rakstus» var izlasīt?» — 36. Ipp. Ojārs Ābols, «Brīnums» — 39. Ipp. Ieskats Pablo Pikaso skiču burtnīcas — 43. Ipp. «Fotomape» — 46. Ipp. Par filmu «Grēku nožēlošana» 51. Ipp. Tatjana Fasta, «Talanti bez pielūdzējiem dokumentālā žanra spogulī» — 55. Ipp. Egils Līcītis, «Hallo, vai jaunais vilnis majas?» — 58. Ipp.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Laikabiedra piezīmes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Jaunatne Latvija 40. gados — 60. Ipp. Intervija ar Miervaldi Ramanu 69. Ipp. Kārlis Lišmanis, «Re, kā dzīvo saimniek-deli!» — 72. Ipp. Māris Grīnblats, «Par jaunākām «reliģijām » — 73. Ipp. Kārlis Rings, «Minotaura medības»_74. Ipp.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Raitis Vilciņš, «Juventoloģija — zinātne par jaunatni, jaunību un jauniem cilvēkiem» — 77.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Ipp. Brigita Brīdaka, «Loma visam mūžam?» — 79. Ipp.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12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1987.08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lastRenderedPageBreak/>
        <w:t>Rakstniecība 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Juris Zvirgzdiņš. «Pūķis» - 1. ipp., Anatols Imermanis. Dzejoļi -7 lpp., Eduards Aivars. Isproza — 8. lpp., Anna Rancane. «Darza loks» - 12. lpp., Mārtiņš Poišs. «Cilvēks un brīvība» - 14 lpp., Francs Kafka. «Labošanas darbu kolonija» — 15. lpp., Kiro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i/>
          <w:iCs/>
          <w:color w:val="000000"/>
          <w:sz w:val="16"/>
          <w:lang w:eastAsia="ru-RU"/>
        </w:rPr>
        <w:t>a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jaunie dzejnieki -21. lpp., Leona Brieža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^rima ar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M'rdzu Bendrupi — 23. lpp., Mirdza Bendrupe. Dzejoļi — 26. lpp., Jans Ēriks Vols. Dziesmu teksti — 28. lpp., Sergejs Kapars. Isproza 30. Ipp., Jānis Kākulis. Dzejoļi - 34. lpp., Dumitru Solomons.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«Ūdens» — 36.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Kultura 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Laima Slava. «Latvija telniecības pasaule» — 38. lpp., Aivars Migla. «Pink Flo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vertAlign w:val="subscript"/>
          <w:lang w:eastAsia="ru-RU"/>
        </w:rPr>
        <w:t>Y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d» — 45. lpp., N. Toms. «Atļaujiet runāt ari neticīgajam Tomam» - 48. lpp., Rodrigo Fomins, Guntars Racs. «Runāja un raidīja Liepāja» — 50. lpp., Armins Lejms. ^ zrade beigusies, ejiet mājās!» - 52. lpp., Dain.s Reinfelds «Dziedoša ekrāna gigants» — 55. lpp., Mākslas dienas Stacijas laukuma -58. lpp., «Fotomape» — 60.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laikabiedra piezīmes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Imanta Ziedoņa runa Latvijas PSR Kultūras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saDulcē — 64. lpp., Jaunatne Latvija 50. gados — 66. lpp., Valerijs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Agranovskis. «Viedoklis» - 74. lpp., Aija Calite.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«Mīlestība -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Rīgai» — 78. lpp.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13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1987.09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Rakstniecība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Andris Kolbergs. «Nekas nav noticis» — 1. Ipp., Ilmārs Tīrmanis. Dzejoļi — 14. Ipp., Andis Meisters. Dzejoļi — 15. Ipp., Ivars Poi-kāns. Dzejoļi — 16. Ipp., Hermanis Hese. «Burvja bērnība» — 18. Ipp., «Dziesmu dziesma» (Ulda Bērziņa ievads) — 22. Ipp., Boriss Grebenščikovs. Dziesmu teksti — 26. Ipp., Jānis Vēveris. «Kaija sava vietā» — 29. Ipp., Ojārs Vācietis. «Vadoņa augšāmcelšanas» — 31.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Ipp.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Kultūra un laiks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Jānis Baltauss. «Cements — daudzkrāsains un melnbalts» — 34. Ipp., Laima Kļaviņa. «Fakti un problēmas Kultūras fondu sakarā» — 39. Ipp., Viktors Avotiņš. «Par Mākslas dienām ’87» — 42. Ipp., Helēna Demakova, Sarmīte Madžule. «Zinātnes un industrijas pilsētiņa» — 45. Ipp., Egils Līcītis. «Tuša pienā» — 48. Ipp., Juris Riekstiņš. «Atgriežoties pie publicētā» — 51. Ipp., Pēteris Udris. «Indivīds un sabiedrība Bairona un Raiņa daiļradē» — 52. Ipp., «Fotomape» — 56. Ipp.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Laikabiedra piezīmes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Jaunatne Latvijā 60. gados — 60. Ipp., Sergejs Vostruhovs. ««Ādaži» 20 gadu amplitūdā» — 68. Ipp., Gints Jansons. «Vakara slaukšana» — 70. Ipp., «Pajumte nepateicīgajiem» — 72. Ipp., Intervija ar LPSR iekšlietu ministru Bruno Šteinbriku — 77.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Ipp., No senām ziņģēm — 80. Ipp.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14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1987.10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Rakstniecība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V. I. Ļeņins, «Vēstule kongresam» — 1. lpp. V. I. Ļeņins, «Lappusītes no dienasgrāmatas» — 2. Ipp. Rimants Ziedonis, «Balāde par Ilmāru»—*6. lpp. Jānis Čavars, dzeja — 12. lpp. Andris Kolbergs, «Nekas nav noticis» — 14. lpp. Viktors Hara, dzeja — 24. lpp. Intervija ar Arvīdu Griguli — 26. lpp. Aleksandrs Čaks, «Mūžības skartie» — 32.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Kultūra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;Normunds Naumanis, «Māksla — mūžīgā gara revolucionāre» — 40. lpp. Tatjana Fasta, «Zaudēto laiku meklējot» — 45. lpp. Pēteris Bankovskis, «Kad ieskanēsies dvēsele?» — 49. lpp. Andrejs Kurcijs, «Aktīvā māksla» — 52. lpp. Pēteris Korsaks, «Fotogrāfijas etnopsiholoģiskie aspekti» — 56.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Laikabiedra piezīmes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Intervija ar LKP CK sekretāru Anatoliju Gorbunovu — 60. lpp. Aija Cālīte, «Kas un kāpēc esat?» — 64. lpp. Jaunatne Latvijā 70. gados — 67. lpp. Kārlis Rings, «Tīnis nav vecums, bet domāšanas veids» — 76.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Ābrams Kļockins, «Piezīmes par jauno domāšanu» — 78. Ipp.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15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1987.11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Rakstniecība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Andris Kolbergs, «Nekas nav noticis» — 1. lpp. Indra Ausekle, dzejoļi — 12. lpp. Edmunds Zviedris, dzejoļi — 13. lpp. Pēteris Zirnītis, «Paši savās un citu meldijās» — 14. lpp. Laima Lī-vena, dzejoļi — 16. lpp. Romāns Baumanis, «No salda miega mosties» — 18. lpp. Semjuels Bekets, «Gaidot Godo» — 20. lpp. Lienīte Medne, «Amulets» — 29. lpp. Brūss Springstīns, dziesmu teksti — 32.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Kultūra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Ints Krūklis, «Voldemārs Matvejs» — 34. lpp. Sarmīte Madžule, «Modes muzejs Parīzē» — 40. lpp. Aino Nurmela, «Radīt vidi» — 42. lpp. Andra Treibaha, «Gadsimts. Mode. Ietekmes» — 45. lpp. Aija Živitere, «Par robežām» — 49. lpp.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Laikabiedra piezīmes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;</w:t>
      </w:r>
      <w:r w:rsidRPr="00F2160E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Jevgeņijs Sluckis, Vladimirs Karpovs, «Jauniešu mode sociologu skatījumā» — 53. lpp. Raitis Vilciņš, «Ja es būtu bagāts vīrs...»— 55. lpp. Ainārs Meiers, «Smagais metāls, smagā asins» — 57. lpp. Baldfirs Apinis, «Varbūt nopirks?» — 62. lpp. Cilvēks un viņa tēls — 64. lpp.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16" w:tgtFrame="_blank" w:history="1">
        <w:r w:rsidRPr="00F2160E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Avots 1987.12</w:t>
        </w:r>
      </w:hyperlink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Rakstniecība ; Andris Kolbergs, «Nekas nav noticis» — 1. Ipp. Sandra Virse, dzejoļi— 13. Ipp. Semjuels Bekets, «Gaidot Godo»— 14. Ipp. Irēna Auziņa, dzejoļi — 22. Ipp. Jāns Kross, «Diena, kad atveras acis» — 24. Ipp. Saruna par bardiem un autordziesmu — 29. Ipp. Kaspars Dimiters, dziesmu teksti — 31. Ipp. Olga Hrustaļova, «Portreti iz gadsimta sākuma» — 32. Ipp. Monteskjē, filozofiskās vēstules — 34. Ipp. ; Kultūra ; Intervija ar latviešu izcelsmes amerikāņu māksliniekiem — 36. Ipp. Andrejs Kaufmanis, «Komikss» — 44. Ipp. Gundega Repše, «Likumsakarība» — 48. Ipp. Helēna Demakova, «Cik nozīmīga šī jubileja?» — 50. Ipp. Remiģis Iļčuks, «Dažādu kultūru tēli lietuviešu režisora Eimunta Ņekroša izrādes» — 54. Ipp. «Fotomape» — 57. Ipp. ; Laikabiedra piezīmes ; Intervija ar Latvijas ĻKJS CK sekretāri Baibu Stašāni — 60. Ipp. Elita Veidemane, «Pāva aste un netīras kājas» — 63. Ipp. Intervija ar rakstnieku Anatoliju Pristavkinu — 65. Ipp. Ainārs Meiers «Smagais metāls, smagā asins» — 67. Ipp. Aleksejs Ļebe-devs, «Dievs žēlīgais — tie taču neesam mēs!» — 71. Ipp. Gundega Saulīte, «Nepieciešamībā» — 74. Ipp. Grigorijs Akmoļinskis, «Piemiņa» — 76. Ipp. Aris Jansons, «Starptautisko notikumu komentēšanas sakarā» — 77. Ipp. Jaungadam veltīti dzejoļi — 80. Ipp.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F2160E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Visi faili(+pdf) kopējais mapes izmērs  kopā ar pdf 125. mb:</w:t>
      </w:r>
    </w:p>
    <w:p w:rsidR="00F2160E" w:rsidRPr="00F2160E" w:rsidRDefault="00F2160E" w:rsidP="00F2160E">
      <w:pPr>
        <w:spacing w:before="100" w:beforeAutospacing="1" w:after="100" w:afterAutospacing="1" w:line="238" w:lineRule="atLeast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hyperlink r:id="rId17" w:tgtFrame="_blank" w:history="1">
        <w:r w:rsidRPr="00F2160E">
          <w:rPr>
            <w:rFonts w:ascii="Georgia" w:eastAsia="Times New Roman" w:hAnsi="Georgia" w:cs="Times New Roman"/>
            <w:color w:val="0000FF"/>
            <w:sz w:val="16"/>
            <w:u w:val="single"/>
            <w:lang w:eastAsia="ru-RU"/>
          </w:rPr>
          <w:t>https://yadi.sk/d/17ANiYxEmXT3y</w:t>
        </w:r>
      </w:hyperlink>
    </w:p>
    <w:p w:rsidR="00B90DA1" w:rsidRPr="00B90DA1" w:rsidRDefault="00F2160E">
      <w:pPr>
        <w:rPr>
          <w:sz w:val="24"/>
          <w:szCs w:val="24"/>
          <w:lang w:val="en-US"/>
        </w:rPr>
      </w:pPr>
      <w:r>
        <w:rPr>
          <w:rFonts w:ascii="Trebuchet MS" w:hAnsi="Trebuchet MS"/>
          <w:color w:val="000000"/>
        </w:rPr>
        <w:t xml:space="preserve"> ; </w:t>
      </w:r>
    </w:p>
    <w:sectPr w:rsidR="00B90DA1" w:rsidRPr="00B90DA1" w:rsidSect="0086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3551E"/>
    <w:rsid w:val="000058D1"/>
    <w:rsid w:val="00064C39"/>
    <w:rsid w:val="00135DB0"/>
    <w:rsid w:val="001A7387"/>
    <w:rsid w:val="002312D0"/>
    <w:rsid w:val="002671E4"/>
    <w:rsid w:val="003A72D9"/>
    <w:rsid w:val="003D6770"/>
    <w:rsid w:val="003E51B5"/>
    <w:rsid w:val="0045658E"/>
    <w:rsid w:val="00485434"/>
    <w:rsid w:val="004A4B47"/>
    <w:rsid w:val="004C326F"/>
    <w:rsid w:val="004E2F8F"/>
    <w:rsid w:val="005728A1"/>
    <w:rsid w:val="005B4F4A"/>
    <w:rsid w:val="00643111"/>
    <w:rsid w:val="00663F89"/>
    <w:rsid w:val="00666A46"/>
    <w:rsid w:val="006B5C99"/>
    <w:rsid w:val="006E5A58"/>
    <w:rsid w:val="006E6B23"/>
    <w:rsid w:val="006F7158"/>
    <w:rsid w:val="00736837"/>
    <w:rsid w:val="00773906"/>
    <w:rsid w:val="00834AC9"/>
    <w:rsid w:val="008667D9"/>
    <w:rsid w:val="008668F4"/>
    <w:rsid w:val="00892C7F"/>
    <w:rsid w:val="008F70B1"/>
    <w:rsid w:val="009E3ABD"/>
    <w:rsid w:val="009E3AFB"/>
    <w:rsid w:val="009F0970"/>
    <w:rsid w:val="00B456D0"/>
    <w:rsid w:val="00B90DA1"/>
    <w:rsid w:val="00C169B6"/>
    <w:rsid w:val="00C3230D"/>
    <w:rsid w:val="00C4238D"/>
    <w:rsid w:val="00C547B0"/>
    <w:rsid w:val="00CB0F29"/>
    <w:rsid w:val="00CD7D73"/>
    <w:rsid w:val="00CF4B5D"/>
    <w:rsid w:val="00D3551E"/>
    <w:rsid w:val="00D54730"/>
    <w:rsid w:val="00D850B1"/>
    <w:rsid w:val="00D92CED"/>
    <w:rsid w:val="00E051B9"/>
    <w:rsid w:val="00E40BE3"/>
    <w:rsid w:val="00E62072"/>
    <w:rsid w:val="00EA05D1"/>
    <w:rsid w:val="00F2160E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51E"/>
    <w:pPr>
      <w:spacing w:after="48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50B1"/>
    <w:rPr>
      <w:i/>
      <w:iCs/>
    </w:rPr>
  </w:style>
  <w:style w:type="character" w:styleId="a5">
    <w:name w:val="Strong"/>
    <w:basedOn w:val="a0"/>
    <w:uiPriority w:val="22"/>
    <w:qFormat/>
    <w:rsid w:val="00D850B1"/>
    <w:rPr>
      <w:b/>
      <w:bCs/>
    </w:rPr>
  </w:style>
  <w:style w:type="paragraph" w:customStyle="1" w:styleId="normal">
    <w:name w:val="normal"/>
    <w:basedOn w:val="a"/>
    <w:rsid w:val="00D850B1"/>
    <w:pPr>
      <w:spacing w:after="48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216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160E"/>
  </w:style>
  <w:style w:type="paragraph" w:styleId="a7">
    <w:name w:val="Balloon Text"/>
    <w:basedOn w:val="a"/>
    <w:link w:val="a8"/>
    <w:uiPriority w:val="99"/>
    <w:semiHidden/>
    <w:unhideWhenUsed/>
    <w:rsid w:val="00F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1591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1170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436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874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1979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  <w:divsChild>
                    <w:div w:id="154713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009600"/>
                        <w:left w:val="single" w:sz="4" w:space="5" w:color="auto"/>
                        <w:bottom w:val="none" w:sz="0" w:space="0" w:color="009600"/>
                        <w:right w:val="none" w:sz="0" w:space="0" w:color="009600"/>
                      </w:divBdr>
                    </w:div>
                  </w:divsChild>
                </w:div>
              </w:divsChild>
            </w:div>
          </w:divsChild>
        </w:div>
      </w:divsChild>
    </w:div>
    <w:div w:id="441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258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4580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69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2989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910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  <w:divsChild>
                    <w:div w:id="13083232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009600"/>
                        <w:left w:val="single" w:sz="4" w:space="5" w:color="auto"/>
                        <w:bottom w:val="none" w:sz="0" w:space="0" w:color="009600"/>
                        <w:right w:val="none" w:sz="0" w:space="0" w:color="009600"/>
                      </w:divBdr>
                      <w:divsChild>
                        <w:div w:id="193131067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009600"/>
                            <w:left w:val="single" w:sz="4" w:space="5" w:color="auto"/>
                            <w:bottom w:val="none" w:sz="0" w:space="0" w:color="009600"/>
                            <w:right w:val="none" w:sz="0" w:space="0" w:color="009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9092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4710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  <w:divsChild>
                    <w:div w:id="175466824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009600"/>
                        <w:left w:val="single" w:sz="4" w:space="5" w:color="auto"/>
                        <w:bottom w:val="none" w:sz="0" w:space="0" w:color="009600"/>
                        <w:right w:val="none" w:sz="0" w:space="0" w:color="009600"/>
                      </w:divBdr>
                    </w:div>
                  </w:divsChild>
                </w:div>
              </w:divsChild>
            </w:div>
          </w:divsChild>
        </w:div>
      </w:divsChild>
    </w:div>
    <w:div w:id="783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821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6057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006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7742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3634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030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1287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550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134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296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7717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  <w:divsChild>
                    <w:div w:id="12156959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009600"/>
                        <w:left w:val="single" w:sz="4" w:space="5" w:color="auto"/>
                        <w:bottom w:val="none" w:sz="0" w:space="0" w:color="009600"/>
                        <w:right w:val="none" w:sz="0" w:space="0" w:color="009600"/>
                      </w:divBdr>
                    </w:div>
                  </w:divsChild>
                </w:div>
              </w:divsChild>
            </w:div>
          </w:divsChild>
        </w:div>
      </w:divsChild>
    </w:div>
    <w:div w:id="1240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231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4122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4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129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0556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8248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46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4249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784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4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1707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096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607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  <w:divsChild>
                    <w:div w:id="182682103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009600"/>
                        <w:left w:val="single" w:sz="4" w:space="5" w:color="auto"/>
                        <w:bottom w:val="none" w:sz="0" w:space="0" w:color="009600"/>
                        <w:right w:val="none" w:sz="0" w:space="0" w:color="009600"/>
                      </w:divBdr>
                    </w:div>
                  </w:divsChild>
                </w:div>
              </w:divsChild>
            </w:div>
          </w:divsChild>
        </w:div>
      </w:divsChild>
    </w:div>
    <w:div w:id="1773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838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728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4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1780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757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2162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788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253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586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791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9109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1954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84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809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18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898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190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916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2090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245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453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2129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5924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6737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4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FJqB942KmXSrB" TargetMode="External"/><Relationship Id="rId13" Type="http://schemas.openxmlformats.org/officeDocument/2006/relationships/hyperlink" Target="https://yadi.sk/i/B2B-mg_amXSv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eoLeXRQxmXSpq" TargetMode="External"/><Relationship Id="rId12" Type="http://schemas.openxmlformats.org/officeDocument/2006/relationships/hyperlink" Target="https://yadi.sk/d/zrW-BHLGmXSup" TargetMode="External"/><Relationship Id="rId17" Type="http://schemas.openxmlformats.org/officeDocument/2006/relationships/hyperlink" Target="https://yadi.sk/d/17ANiYxEmXT3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tyc1gYPwmXSzm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Gh_H0uV6mXSon" TargetMode="External"/><Relationship Id="rId11" Type="http://schemas.openxmlformats.org/officeDocument/2006/relationships/hyperlink" Target="https://yadi.sk/i/UZOIdZr5mXSty" TargetMode="External"/><Relationship Id="rId5" Type="http://schemas.openxmlformats.org/officeDocument/2006/relationships/hyperlink" Target="https://yadi.sk/d/tGCzKWPUmXSnV" TargetMode="External"/><Relationship Id="rId15" Type="http://schemas.openxmlformats.org/officeDocument/2006/relationships/hyperlink" Target="https://yadi.sk/d/AnEf5FkBmXSyf" TargetMode="External"/><Relationship Id="rId10" Type="http://schemas.openxmlformats.org/officeDocument/2006/relationships/hyperlink" Target="https://yadi.sk/i/YEmRmNH6mXSt7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yadi.sk/i/3dErYJt-mXSs2" TargetMode="External"/><Relationship Id="rId14" Type="http://schemas.openxmlformats.org/officeDocument/2006/relationships/hyperlink" Target="https://yadi.sk/i/6i0oU2TUmXSx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www.imantslochmelis@inbox.lv</dc:creator>
  <cp:keywords/>
  <dc:description/>
  <cp:lastModifiedBy>www.PHILka.RU</cp:lastModifiedBy>
  <cp:revision>12</cp:revision>
  <dcterms:created xsi:type="dcterms:W3CDTF">2015-12-19T17:05:00Z</dcterms:created>
  <dcterms:modified xsi:type="dcterms:W3CDTF">2015-12-27T18:12:00Z</dcterms:modified>
</cp:coreProperties>
</file>